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05AA" w14:textId="77777777" w:rsidR="00CF1133" w:rsidRDefault="001A7328" w:rsidP="00CF1133">
      <w:pPr>
        <w:ind w:left="-710" w:firstLine="695"/>
        <w:rPr>
          <w:b/>
          <w:bCs/>
        </w:rPr>
      </w:pPr>
    </w:p>
    <w:p w14:paraId="121525A6" w14:textId="77777777" w:rsidR="00CF1133" w:rsidRDefault="00C50C5E" w:rsidP="00CF1133">
      <w:pPr>
        <w:ind w:left="-710" w:firstLine="695"/>
      </w:pPr>
      <w:r>
        <w:rPr>
          <w:b/>
          <w:bCs/>
        </w:rPr>
        <w:t xml:space="preserve">Lancashire Enterprise Partnership Limited  </w:t>
      </w:r>
    </w:p>
    <w:p w14:paraId="50521171" w14:textId="77777777" w:rsidR="00CF1133" w:rsidRPr="00BC4466" w:rsidRDefault="00C50C5E" w:rsidP="00CF1133">
      <w:pPr>
        <w:spacing w:after="0" w:line="256" w:lineRule="auto"/>
        <w:ind w:left="0" w:firstLine="0"/>
        <w:rPr>
          <w:b/>
          <w:bCs/>
        </w:rPr>
      </w:pPr>
      <w:r w:rsidRPr="00BC4466">
        <w:rPr>
          <w:b/>
          <w:bCs/>
        </w:rPr>
        <w:t xml:space="preserve"> </w:t>
      </w:r>
    </w:p>
    <w:p w14:paraId="77740878" w14:textId="77777777" w:rsidR="00BC4466" w:rsidRPr="00BC4466" w:rsidRDefault="00C50C5E" w:rsidP="00CF1133">
      <w:pPr>
        <w:spacing w:after="0" w:line="256" w:lineRule="auto"/>
        <w:ind w:left="0" w:firstLine="0"/>
        <w:rPr>
          <w:b/>
          <w:bCs/>
        </w:rPr>
      </w:pPr>
      <w:r w:rsidRPr="00BC4466">
        <w:rPr>
          <w:b/>
        </w:rPr>
        <w:t xml:space="preserve">Private and Confidential: </w:t>
      </w:r>
      <w:r>
        <w:rPr>
          <w:b/>
        </w:rPr>
        <w:t>No</w:t>
      </w:r>
    </w:p>
    <w:p w14:paraId="3975DD6E" w14:textId="77777777" w:rsidR="00BC4466" w:rsidRDefault="001A7328" w:rsidP="00CF1133">
      <w:pPr>
        <w:spacing w:after="0" w:line="256" w:lineRule="auto"/>
        <w:ind w:left="0" w:firstLine="0"/>
      </w:pPr>
    </w:p>
    <w:p w14:paraId="79BC85EC" w14:textId="77777777" w:rsidR="00A3358A" w:rsidRDefault="00C50C5E" w:rsidP="00A3358A">
      <w:r w:rsidRPr="005D0C06">
        <w:rPr>
          <w:b/>
        </w:rPr>
        <w:t>Date:</w:t>
      </w:r>
      <w:r>
        <w:t xml:space="preserve"> </w:t>
      </w:r>
      <w:fldSimple w:instr=" DOCPROPERTY  MeetingDate  \* MERGEFORMAT ">
        <w:r>
          <w:t>Tuesday, 22 June 2021</w:t>
        </w:r>
      </w:fldSimple>
    </w:p>
    <w:p w14:paraId="506A9B14" w14:textId="77777777" w:rsidR="00A3358A" w:rsidRDefault="001A7328" w:rsidP="00A3358A"/>
    <w:p w14:paraId="24CC4148" w14:textId="77777777" w:rsidR="00A3358A" w:rsidRDefault="00C50C5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 Programmes Finance Update Report</w:t>
      </w:r>
      <w:r>
        <w:rPr>
          <w:rFonts w:eastAsia="Times New Roman" w:cs="Times New Roman"/>
          <w:b/>
          <w:color w:val="auto"/>
          <w:szCs w:val="20"/>
        </w:rPr>
        <w:fldChar w:fldCharType="end"/>
      </w:r>
    </w:p>
    <w:p w14:paraId="234BF457" w14:textId="77777777" w:rsidR="00D7480F" w:rsidRDefault="001A7328" w:rsidP="00CF1133">
      <w:pPr>
        <w:spacing w:after="0" w:line="256" w:lineRule="auto"/>
        <w:ind w:left="0" w:firstLine="0"/>
      </w:pPr>
    </w:p>
    <w:p w14:paraId="33E96042" w14:textId="77777777" w:rsidR="00F41096" w:rsidRPr="00F41096" w:rsidRDefault="00C50C5E"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Sarah Kemp</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531885</w:t>
      </w:r>
      <w:r>
        <w:rPr>
          <w:b/>
        </w:rPr>
        <w:fldChar w:fldCharType="end"/>
      </w:r>
      <w:r w:rsidRPr="00F41096">
        <w:rPr>
          <w:b/>
        </w:rPr>
        <w:t xml:space="preserve">, </w:t>
      </w:r>
    </w:p>
    <w:p w14:paraId="1B1E95BA" w14:textId="77777777" w:rsidR="00F41096" w:rsidRPr="00F41096" w:rsidRDefault="00C50C5E" w:rsidP="00F41096">
      <w:pPr>
        <w:ind w:right="-873"/>
        <w:rPr>
          <w:b/>
        </w:rPr>
      </w:pPr>
      <w:r>
        <w:rPr>
          <w:b/>
        </w:rPr>
        <w:fldChar w:fldCharType="begin"/>
      </w:r>
      <w:r>
        <w:rPr>
          <w:b/>
        </w:rPr>
        <w:instrText xml:space="preserve"> DOCPROPERTY  LeadOfficerEmail  \* MERGEFORMAT </w:instrText>
      </w:r>
      <w:r>
        <w:rPr>
          <w:b/>
        </w:rPr>
        <w:fldChar w:fldCharType="separate"/>
      </w:r>
      <w:r>
        <w:rPr>
          <w:b/>
        </w:rPr>
        <w:t>Sarah.Kemp@lancashirelep.co.uk</w:t>
      </w:r>
      <w:r>
        <w:rPr>
          <w:b/>
        </w:rPr>
        <w:fldChar w:fldCharType="end"/>
      </w:r>
    </w:p>
    <w:p w14:paraId="7F62BA90" w14:textId="77777777" w:rsidR="00CF1133" w:rsidRDefault="00C50C5E" w:rsidP="00CF1133">
      <w:pPr>
        <w:spacing w:after="0" w:line="256" w:lineRule="auto"/>
        <w:ind w:left="0" w:firstLine="0"/>
        <w:rPr>
          <w:b/>
          <w:bCs/>
        </w:rPr>
      </w:pPr>
      <w:r>
        <w:rPr>
          <w:b/>
          <w:bCs/>
        </w:rPr>
        <w:t xml:space="preserve"> </w:t>
      </w:r>
    </w:p>
    <w:p w14:paraId="099C16C9" w14:textId="77777777" w:rsidR="00F95C8B" w:rsidRDefault="001A7328"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321E" w14:paraId="6577C7FD" w14:textId="77777777" w:rsidTr="00841251">
        <w:tc>
          <w:tcPr>
            <w:tcW w:w="9180" w:type="dxa"/>
          </w:tcPr>
          <w:p w14:paraId="4422C2DC" w14:textId="77777777" w:rsidR="00F95C8B" w:rsidRDefault="001A7328" w:rsidP="00841251">
            <w:pPr>
              <w:pStyle w:val="Header"/>
            </w:pPr>
          </w:p>
          <w:p w14:paraId="049A415A" w14:textId="77777777" w:rsidR="00F95C8B" w:rsidRPr="00F95C8B" w:rsidRDefault="00C50C5E" w:rsidP="00841251">
            <w:pPr>
              <w:pStyle w:val="Heading6"/>
              <w:rPr>
                <w:rFonts w:ascii="Arial" w:hAnsi="Arial"/>
                <w:b/>
                <w:color w:val="auto"/>
              </w:rPr>
            </w:pPr>
            <w:r w:rsidRPr="00F95C8B">
              <w:rPr>
                <w:rFonts w:ascii="Arial" w:hAnsi="Arial"/>
                <w:b/>
                <w:color w:val="auto"/>
              </w:rPr>
              <w:t>Executive Summary</w:t>
            </w:r>
          </w:p>
          <w:p w14:paraId="2CC9BB7D" w14:textId="77777777" w:rsidR="00F95C8B" w:rsidRPr="00F95C8B" w:rsidRDefault="001A7328" w:rsidP="00841251">
            <w:pPr>
              <w:rPr>
                <w:color w:val="auto"/>
              </w:rPr>
            </w:pPr>
          </w:p>
          <w:p w14:paraId="522A812D" w14:textId="77777777" w:rsidR="00C018E1" w:rsidRPr="0003575B" w:rsidRDefault="00C50C5E" w:rsidP="00C018E1">
            <w:pPr>
              <w:ind w:left="0" w:firstLine="0"/>
              <w:jc w:val="both"/>
              <w:rPr>
                <w:color w:val="auto"/>
              </w:rPr>
            </w:pPr>
            <w:r w:rsidRPr="0003575B">
              <w:rPr>
                <w:color w:val="auto"/>
              </w:rPr>
              <w:t xml:space="preserve">This report provides the </w:t>
            </w:r>
            <w:r w:rsidRPr="0003575B">
              <w:rPr>
                <w:bCs/>
                <w:color w:val="auto"/>
              </w:rPr>
              <w:t xml:space="preserve">Lancashire Enterprise Partnership (LEP) </w:t>
            </w:r>
            <w:r w:rsidRPr="0003575B">
              <w:rPr>
                <w:color w:val="auto"/>
              </w:rPr>
              <w:t>Board with high level finance updates for each of the LEP programmes. To note the LEP Board also receives Programme Update Reports at regular intervals on the performance of the LEP Programmes in terms of outputs and impact.</w:t>
            </w:r>
          </w:p>
          <w:p w14:paraId="43AA8239" w14:textId="77777777" w:rsidR="00F95C8B" w:rsidRPr="00F95C8B" w:rsidRDefault="001A7328" w:rsidP="00841251">
            <w:pPr>
              <w:rPr>
                <w:color w:val="auto"/>
              </w:rPr>
            </w:pPr>
          </w:p>
          <w:p w14:paraId="7F52AD9A" w14:textId="77777777" w:rsidR="00F95C8B" w:rsidRPr="00F95C8B" w:rsidRDefault="001A7328" w:rsidP="00841251">
            <w:pPr>
              <w:rPr>
                <w:color w:val="auto"/>
              </w:rPr>
            </w:pPr>
          </w:p>
          <w:p w14:paraId="21DAF88A" w14:textId="77777777" w:rsidR="00F95C8B" w:rsidRPr="00F95C8B" w:rsidRDefault="00C50C5E" w:rsidP="00841251">
            <w:pPr>
              <w:pStyle w:val="Heading5"/>
              <w:rPr>
                <w:rFonts w:ascii="Arial" w:hAnsi="Arial"/>
                <w:b/>
                <w:color w:val="auto"/>
              </w:rPr>
            </w:pPr>
            <w:r w:rsidRPr="00F95C8B">
              <w:rPr>
                <w:rFonts w:ascii="Arial" w:hAnsi="Arial"/>
                <w:b/>
                <w:color w:val="auto"/>
              </w:rPr>
              <w:t>Recommendation</w:t>
            </w:r>
          </w:p>
          <w:p w14:paraId="687D88E4" w14:textId="77777777" w:rsidR="00F95C8B" w:rsidRPr="00F95C8B" w:rsidRDefault="001A7328" w:rsidP="00841251">
            <w:pPr>
              <w:rPr>
                <w:color w:val="auto"/>
              </w:rPr>
            </w:pPr>
          </w:p>
          <w:p w14:paraId="32F98CF6" w14:textId="77777777" w:rsidR="00C018E1" w:rsidRPr="0003575B" w:rsidRDefault="00C50C5E" w:rsidP="00C018E1">
            <w:pPr>
              <w:spacing w:after="0" w:line="240" w:lineRule="auto"/>
              <w:ind w:left="0" w:firstLine="0"/>
              <w:jc w:val="both"/>
              <w:rPr>
                <w:bCs/>
                <w:color w:val="auto"/>
              </w:rPr>
            </w:pPr>
            <w:r w:rsidRPr="0003575B">
              <w:rPr>
                <w:bCs/>
                <w:color w:val="auto"/>
              </w:rPr>
              <w:t>The Lancashire Enterprise Partnership (LEP) is asked to:</w:t>
            </w:r>
          </w:p>
          <w:p w14:paraId="2AA1960E" w14:textId="77777777" w:rsidR="00C018E1" w:rsidRPr="0003575B" w:rsidRDefault="001A7328" w:rsidP="00C018E1">
            <w:pPr>
              <w:spacing w:after="0" w:line="240" w:lineRule="auto"/>
              <w:ind w:left="0" w:firstLine="0"/>
              <w:jc w:val="both"/>
              <w:rPr>
                <w:bCs/>
                <w:color w:val="auto"/>
              </w:rPr>
            </w:pPr>
          </w:p>
          <w:p w14:paraId="14066504" w14:textId="77777777" w:rsidR="00C018E1" w:rsidRPr="0003575B" w:rsidRDefault="00C50C5E" w:rsidP="00C018E1">
            <w:pPr>
              <w:pStyle w:val="ListParagraph"/>
              <w:numPr>
                <w:ilvl w:val="0"/>
                <w:numId w:val="4"/>
              </w:numPr>
              <w:spacing w:after="0" w:line="240" w:lineRule="auto"/>
              <w:ind w:left="360" w:firstLine="0"/>
              <w:jc w:val="both"/>
            </w:pPr>
            <w:r w:rsidRPr="0003575B">
              <w:rPr>
                <w:bCs/>
                <w:color w:val="auto"/>
              </w:rPr>
              <w:t xml:space="preserve">Note the updates contained in this report </w:t>
            </w:r>
          </w:p>
          <w:p w14:paraId="545DFA55" w14:textId="77777777" w:rsidR="00C018E1" w:rsidRPr="0003575B" w:rsidRDefault="00C50C5E" w:rsidP="00C018E1">
            <w:pPr>
              <w:pStyle w:val="ListParagraph"/>
              <w:numPr>
                <w:ilvl w:val="0"/>
                <w:numId w:val="4"/>
              </w:numPr>
              <w:spacing w:after="0" w:line="240" w:lineRule="auto"/>
              <w:ind w:left="360" w:firstLine="0"/>
              <w:jc w:val="both"/>
            </w:pPr>
            <w:r w:rsidRPr="0003575B">
              <w:t>Provide feedback in terms of changes / additional content for future reports.</w:t>
            </w:r>
          </w:p>
          <w:p w14:paraId="34596B57" w14:textId="77777777" w:rsidR="00F95C8B" w:rsidRDefault="001A7328" w:rsidP="00841251"/>
        </w:tc>
      </w:tr>
    </w:tbl>
    <w:p w14:paraId="3F401784" w14:textId="77777777" w:rsidR="00A3358A" w:rsidRDefault="001A7328" w:rsidP="00CF1133">
      <w:pPr>
        <w:spacing w:after="0" w:line="256" w:lineRule="auto"/>
        <w:ind w:left="0" w:firstLine="0"/>
      </w:pPr>
    </w:p>
    <w:p w14:paraId="18D2FE4B" w14:textId="4657102D" w:rsidR="00A3358A" w:rsidRDefault="00C50C5E" w:rsidP="00A3358A">
      <w:pPr>
        <w:rPr>
          <w:b/>
        </w:rPr>
      </w:pPr>
      <w:r>
        <w:rPr>
          <w:b/>
        </w:rPr>
        <w:t>1.0</w:t>
      </w:r>
      <w:r>
        <w:rPr>
          <w:b/>
        </w:rPr>
        <w:tab/>
      </w:r>
      <w:r>
        <w:rPr>
          <w:b/>
        </w:rPr>
        <w:tab/>
        <w:t xml:space="preserve">Background and Advice </w:t>
      </w:r>
    </w:p>
    <w:p w14:paraId="717246D4" w14:textId="77777777" w:rsidR="00A3358A" w:rsidRDefault="001A7328" w:rsidP="00A3358A">
      <w:pPr>
        <w:rPr>
          <w:b/>
        </w:rPr>
      </w:pPr>
    </w:p>
    <w:p w14:paraId="48142D13" w14:textId="77777777" w:rsidR="00C018E1" w:rsidRPr="0003575B" w:rsidRDefault="00C50C5E" w:rsidP="00C018E1">
      <w:pPr>
        <w:ind w:left="0" w:firstLine="0"/>
        <w:jc w:val="both"/>
      </w:pPr>
      <w:r w:rsidRPr="0003575B">
        <w:t xml:space="preserve">The purpose of this report is to provide Members of the Board with a single high-level programme finance report, including an update on each of the LEP programmes, with the aim to: </w:t>
      </w:r>
    </w:p>
    <w:p w14:paraId="491207B2" w14:textId="77777777" w:rsidR="00C018E1" w:rsidRPr="0003575B" w:rsidRDefault="001A7328" w:rsidP="00C018E1">
      <w:pPr>
        <w:ind w:left="0" w:firstLine="0"/>
        <w:jc w:val="both"/>
      </w:pPr>
    </w:p>
    <w:p w14:paraId="53BE10AE" w14:textId="77777777" w:rsidR="00C018E1" w:rsidRPr="0003575B" w:rsidRDefault="00C50C5E" w:rsidP="00C018E1">
      <w:pPr>
        <w:pStyle w:val="ListParagraph"/>
        <w:numPr>
          <w:ilvl w:val="0"/>
          <w:numId w:val="5"/>
        </w:numPr>
        <w:jc w:val="both"/>
      </w:pPr>
      <w:r w:rsidRPr="0003575B">
        <w:t>Provide regular and consistent updates across all programmes, which can be used when Members are promoting / engaging / conducting LEP business.</w:t>
      </w:r>
    </w:p>
    <w:p w14:paraId="3D92B4F5" w14:textId="77777777" w:rsidR="00C018E1" w:rsidRPr="0003575B" w:rsidRDefault="00C50C5E" w:rsidP="00C018E1">
      <w:pPr>
        <w:pStyle w:val="ListParagraph"/>
        <w:numPr>
          <w:ilvl w:val="0"/>
          <w:numId w:val="5"/>
        </w:numPr>
        <w:jc w:val="both"/>
      </w:pPr>
      <w:r w:rsidRPr="0003575B">
        <w:t>Allow members to make individual programme decisions in the context of the complete portfolio of Programmes.</w:t>
      </w:r>
    </w:p>
    <w:p w14:paraId="4034FB5D" w14:textId="77777777" w:rsidR="00C018E1" w:rsidRPr="0003575B" w:rsidRDefault="00C50C5E" w:rsidP="00C018E1">
      <w:pPr>
        <w:pStyle w:val="ListParagraph"/>
        <w:numPr>
          <w:ilvl w:val="0"/>
          <w:numId w:val="5"/>
        </w:numPr>
        <w:jc w:val="both"/>
      </w:pPr>
      <w:r w:rsidRPr="0003575B">
        <w:t>Assurance of the financial performance of individual programmes for which the LEP is accountable to government for.</w:t>
      </w:r>
    </w:p>
    <w:p w14:paraId="4B9BE8E4" w14:textId="77777777" w:rsidR="00C018E1" w:rsidRDefault="00C50C5E" w:rsidP="00C018E1">
      <w:pPr>
        <w:pStyle w:val="ListParagraph"/>
        <w:numPr>
          <w:ilvl w:val="0"/>
          <w:numId w:val="5"/>
        </w:numPr>
        <w:jc w:val="both"/>
      </w:pPr>
      <w:r w:rsidRPr="0003575B">
        <w:t>Identify any risks and agree remedial actions.</w:t>
      </w:r>
    </w:p>
    <w:p w14:paraId="37423EF5" w14:textId="77777777" w:rsidR="00C018E1" w:rsidRPr="0003575B" w:rsidRDefault="001A7328" w:rsidP="00C018E1">
      <w:pPr>
        <w:pStyle w:val="ListParagraph"/>
        <w:ind w:firstLine="0"/>
        <w:jc w:val="both"/>
      </w:pPr>
    </w:p>
    <w:p w14:paraId="03760577" w14:textId="77777777" w:rsidR="00C018E1" w:rsidRPr="0003575B" w:rsidRDefault="001A7328" w:rsidP="00C018E1">
      <w:pPr>
        <w:ind w:left="0" w:firstLine="0"/>
        <w:jc w:val="both"/>
      </w:pPr>
    </w:p>
    <w:p w14:paraId="61BC4C24" w14:textId="77777777" w:rsidR="00C018E1" w:rsidRPr="0003575B" w:rsidRDefault="00C50C5E" w:rsidP="00C018E1">
      <w:pPr>
        <w:ind w:left="0" w:firstLine="0"/>
        <w:jc w:val="both"/>
        <w:rPr>
          <w:b/>
        </w:rPr>
      </w:pPr>
      <w:r w:rsidRPr="0003575B">
        <w:rPr>
          <w:b/>
        </w:rPr>
        <w:t>2.0</w:t>
      </w:r>
      <w:r w:rsidRPr="0003575B">
        <w:rPr>
          <w:b/>
        </w:rPr>
        <w:tab/>
        <w:t xml:space="preserve">Programme Reports </w:t>
      </w:r>
    </w:p>
    <w:p w14:paraId="0FC1FDD6" w14:textId="77777777" w:rsidR="00C018E1" w:rsidRPr="0003575B" w:rsidRDefault="001A7328" w:rsidP="00C018E1">
      <w:pPr>
        <w:ind w:left="0" w:firstLine="0"/>
        <w:jc w:val="both"/>
      </w:pPr>
    </w:p>
    <w:p w14:paraId="2033BEC8" w14:textId="77777777" w:rsidR="00C018E1" w:rsidRPr="0003575B" w:rsidRDefault="00C50C5E" w:rsidP="00C018E1">
      <w:pPr>
        <w:ind w:left="0" w:firstLine="0"/>
        <w:jc w:val="both"/>
        <w:rPr>
          <w:b/>
        </w:rPr>
      </w:pPr>
      <w:r w:rsidRPr="0003575B">
        <w:rPr>
          <w:b/>
        </w:rPr>
        <w:lastRenderedPageBreak/>
        <w:t>2.1</w:t>
      </w:r>
      <w:r w:rsidRPr="0003575B">
        <w:rPr>
          <w:b/>
        </w:rPr>
        <w:tab/>
        <w:t xml:space="preserve">Boost  </w:t>
      </w:r>
    </w:p>
    <w:p w14:paraId="7C2AAF6E" w14:textId="77777777" w:rsidR="00C018E1" w:rsidRPr="0003575B" w:rsidRDefault="001A7328" w:rsidP="00C018E1">
      <w:pPr>
        <w:jc w:val="both"/>
        <w:rPr>
          <w:rFonts w:eastAsiaTheme="minorHAnsi"/>
          <w:b/>
          <w:color w:val="auto"/>
        </w:rPr>
      </w:pPr>
    </w:p>
    <w:p w14:paraId="0C9918AF" w14:textId="53D40139" w:rsidR="00C018E1" w:rsidRPr="0003575B" w:rsidRDefault="00C50C5E" w:rsidP="00C018E1">
      <w:pPr>
        <w:ind w:left="0" w:firstLine="0"/>
        <w:jc w:val="both"/>
        <w:rPr>
          <w:rFonts w:eastAsiaTheme="minorHAnsi"/>
          <w:color w:val="auto"/>
        </w:rPr>
      </w:pPr>
      <w:r w:rsidRPr="0003575B">
        <w:rPr>
          <w:rFonts w:eastAsiaTheme="minorHAnsi"/>
          <w:color w:val="auto"/>
        </w:rPr>
        <w:t xml:space="preserve">The Boost Programme provides the Lancashire Business Growth Hub and is currently in its third programme.  BEIS provide an annual grant of £328k (£536k in 2020/21) which is used for support activities and is claimed quarterly in advance from BEIS.   Claims are submitted with evidence of previous quarters spend. </w:t>
      </w:r>
    </w:p>
    <w:p w14:paraId="68549FA7" w14:textId="77777777" w:rsidR="00C018E1" w:rsidRPr="0003575B" w:rsidRDefault="001A7328" w:rsidP="00C018E1">
      <w:pPr>
        <w:ind w:firstLine="0"/>
        <w:jc w:val="both"/>
        <w:rPr>
          <w:rFonts w:eastAsiaTheme="minorHAnsi"/>
          <w:color w:val="auto"/>
        </w:rPr>
      </w:pPr>
    </w:p>
    <w:p w14:paraId="117DBEB6" w14:textId="77777777" w:rsidR="00C018E1" w:rsidRPr="0003575B" w:rsidRDefault="00C50C5E" w:rsidP="00C018E1">
      <w:pPr>
        <w:ind w:left="0" w:firstLine="0"/>
        <w:jc w:val="both"/>
        <w:rPr>
          <w:rFonts w:eastAsiaTheme="minorHAnsi"/>
          <w:color w:val="auto"/>
        </w:rPr>
      </w:pPr>
      <w:r w:rsidRPr="0003575B">
        <w:rPr>
          <w:rFonts w:eastAsiaTheme="minorHAnsi"/>
          <w:color w:val="auto"/>
        </w:rPr>
        <w:t>Overall c£4.2m business support (including none ERDF) is currently funded 57% by LCC (£2.4m) and 43% ERDF/Government (£2m core Boost funding is 60%ERDF (£1.2m) 40% match (£800k LCC/BEIS grant to LEP).  Boost operates pan-Lancashire.</w:t>
      </w:r>
    </w:p>
    <w:p w14:paraId="2009F4F5" w14:textId="77777777" w:rsidR="00C018E1" w:rsidRPr="0003575B" w:rsidRDefault="001A7328" w:rsidP="00C018E1">
      <w:pPr>
        <w:ind w:left="0" w:firstLine="0"/>
        <w:jc w:val="both"/>
        <w:rPr>
          <w:rFonts w:eastAsiaTheme="minorHAnsi"/>
          <w:color w:val="auto"/>
        </w:rPr>
      </w:pPr>
    </w:p>
    <w:p w14:paraId="39070E41" w14:textId="77777777" w:rsidR="00C018E1" w:rsidRPr="0003575B" w:rsidRDefault="00C50C5E" w:rsidP="00C018E1">
      <w:pPr>
        <w:ind w:left="0" w:firstLine="0"/>
        <w:jc w:val="both"/>
        <w:rPr>
          <w:rFonts w:eastAsiaTheme="minorHAnsi"/>
          <w:color w:val="auto"/>
        </w:rPr>
      </w:pPr>
      <w:r w:rsidRPr="0003575B">
        <w:rPr>
          <w:rFonts w:eastAsiaTheme="minorHAnsi"/>
          <w:color w:val="auto"/>
        </w:rPr>
        <w:t xml:space="preserve">The </w:t>
      </w:r>
      <w:r w:rsidRPr="0003575B">
        <w:rPr>
          <w:rFonts w:eastAsiaTheme="minorHAnsi"/>
          <w:i/>
          <w:iCs/>
          <w:color w:val="auto"/>
        </w:rPr>
        <w:t>Boost</w:t>
      </w:r>
      <w:r w:rsidRPr="0003575B">
        <w:rPr>
          <w:rFonts w:eastAsiaTheme="minorHAnsi"/>
          <w:color w:val="auto"/>
        </w:rPr>
        <w:t xml:space="preserve"> Business Growth Hub, and other partners, were awarded BEIS funding to undertake more strategic activity based around </w:t>
      </w:r>
      <w:proofErr w:type="spellStart"/>
      <w:r w:rsidRPr="0003575B">
        <w:rPr>
          <w:rFonts w:eastAsiaTheme="minorHAnsi"/>
          <w:color w:val="auto"/>
        </w:rPr>
        <w:t>Covid</w:t>
      </w:r>
      <w:proofErr w:type="spellEnd"/>
      <w:r w:rsidRPr="0003575B">
        <w:rPr>
          <w:rFonts w:eastAsiaTheme="minorHAnsi"/>
          <w:color w:val="auto"/>
        </w:rPr>
        <w:t xml:space="preserve"> resilience and the impact of Brexit.  </w:t>
      </w:r>
      <w:r w:rsidRPr="0003575B">
        <w:rPr>
          <w:rFonts w:eastAsiaTheme="minorHAnsi"/>
          <w:i/>
          <w:iCs/>
          <w:color w:val="auto"/>
        </w:rPr>
        <w:t>Boost</w:t>
      </w:r>
      <w:r w:rsidRPr="0003575B">
        <w:rPr>
          <w:rFonts w:eastAsiaTheme="minorHAnsi"/>
          <w:color w:val="auto"/>
        </w:rPr>
        <w:t xml:space="preserve"> further </w:t>
      </w:r>
      <w:bookmarkStart w:id="0" w:name="_Hlk71801350"/>
      <w:r w:rsidRPr="0003575B">
        <w:rPr>
          <w:rFonts w:eastAsiaTheme="minorHAnsi"/>
          <w:color w:val="auto"/>
        </w:rPr>
        <w:t xml:space="preserve">secured and distributed an additional £1.1m of </w:t>
      </w:r>
      <w:proofErr w:type="spellStart"/>
      <w:r w:rsidRPr="0003575B">
        <w:rPr>
          <w:rFonts w:eastAsiaTheme="minorHAnsi"/>
          <w:i/>
          <w:iCs/>
          <w:color w:val="auto"/>
        </w:rPr>
        <w:t>Covid</w:t>
      </w:r>
      <w:proofErr w:type="spellEnd"/>
      <w:r w:rsidRPr="0003575B">
        <w:rPr>
          <w:rFonts w:eastAsiaTheme="minorHAnsi"/>
          <w:i/>
          <w:iCs/>
          <w:color w:val="auto"/>
        </w:rPr>
        <w:t xml:space="preserve"> Business Adaptation</w:t>
      </w:r>
      <w:r w:rsidRPr="0003575B">
        <w:rPr>
          <w:rFonts w:eastAsiaTheme="minorHAnsi"/>
          <w:color w:val="auto"/>
        </w:rPr>
        <w:t xml:space="preserve"> grants which helped support over 300 businesses </w:t>
      </w:r>
      <w:bookmarkStart w:id="1" w:name="_Hlk71800953"/>
      <w:r w:rsidRPr="0003575B">
        <w:rPr>
          <w:rFonts w:eastAsiaTheme="minorHAnsi"/>
          <w:color w:val="auto"/>
        </w:rPr>
        <w:t xml:space="preserve">through </w:t>
      </w:r>
      <w:r w:rsidRPr="0003575B">
        <w:rPr>
          <w:rFonts w:eastAsiaTheme="minorHAnsi"/>
          <w:i/>
          <w:iCs/>
          <w:color w:val="auto"/>
        </w:rPr>
        <w:t>#BoostYourRecovery</w:t>
      </w:r>
      <w:r w:rsidRPr="0003575B">
        <w:rPr>
          <w:rFonts w:eastAsiaTheme="minorHAnsi"/>
          <w:color w:val="auto"/>
        </w:rPr>
        <w:t xml:space="preserve"> and </w:t>
      </w:r>
      <w:r w:rsidRPr="0003575B">
        <w:rPr>
          <w:rFonts w:eastAsiaTheme="minorHAnsi"/>
          <w:i/>
          <w:iCs/>
          <w:color w:val="auto"/>
        </w:rPr>
        <w:t xml:space="preserve">Kickstart Tourism Lancashire </w:t>
      </w:r>
      <w:r w:rsidRPr="0003575B">
        <w:rPr>
          <w:rFonts w:eastAsiaTheme="minorHAnsi"/>
          <w:color w:val="auto"/>
        </w:rPr>
        <w:t xml:space="preserve">grants. </w:t>
      </w:r>
      <w:r w:rsidRPr="0003575B">
        <w:rPr>
          <w:rFonts w:eastAsiaTheme="minorHAnsi"/>
          <w:i/>
          <w:iCs/>
          <w:color w:val="auto"/>
        </w:rPr>
        <w:t>Boost</w:t>
      </w:r>
      <w:r w:rsidRPr="0003575B">
        <w:rPr>
          <w:rFonts w:eastAsiaTheme="minorHAnsi"/>
          <w:color w:val="auto"/>
        </w:rPr>
        <w:t xml:space="preserve"> also successfully bid for </w:t>
      </w:r>
      <w:proofErr w:type="spellStart"/>
      <w:r w:rsidRPr="0003575B">
        <w:rPr>
          <w:rFonts w:eastAsiaTheme="minorHAnsi"/>
          <w:color w:val="auto"/>
        </w:rPr>
        <w:t>Covid</w:t>
      </w:r>
      <w:proofErr w:type="spellEnd"/>
      <w:r w:rsidRPr="0003575B">
        <w:rPr>
          <w:rFonts w:eastAsiaTheme="minorHAnsi"/>
          <w:color w:val="auto"/>
        </w:rPr>
        <w:t xml:space="preserve">-response funding from BEIS </w:t>
      </w:r>
      <w:r>
        <w:rPr>
          <w:rFonts w:eastAsiaTheme="minorHAnsi"/>
          <w:color w:val="auto"/>
        </w:rPr>
        <w:t>£432k</w:t>
      </w:r>
      <w:r w:rsidRPr="0003575B">
        <w:rPr>
          <w:rFonts w:eastAsiaTheme="minorHAnsi"/>
          <w:b/>
          <w:bCs/>
          <w:color w:val="auto"/>
        </w:rPr>
        <w:t xml:space="preserve"> </w:t>
      </w:r>
      <w:r w:rsidRPr="0003575B">
        <w:rPr>
          <w:rFonts w:eastAsiaTheme="minorHAnsi"/>
          <w:color w:val="auto"/>
        </w:rPr>
        <w:t xml:space="preserve">to develop and deliver a series of peer-to-peer business groups. </w:t>
      </w:r>
    </w:p>
    <w:bookmarkEnd w:id="0"/>
    <w:bookmarkEnd w:id="1"/>
    <w:p w14:paraId="5EBAB6BE" w14:textId="77777777" w:rsidR="00C018E1" w:rsidRPr="0003575B" w:rsidRDefault="001A7328" w:rsidP="00C018E1">
      <w:pPr>
        <w:ind w:left="0" w:firstLine="0"/>
        <w:jc w:val="both"/>
        <w:rPr>
          <w:rFonts w:eastAsiaTheme="minorHAnsi"/>
          <w:color w:val="auto"/>
        </w:rPr>
      </w:pPr>
    </w:p>
    <w:p w14:paraId="3C017CC7" w14:textId="77777777" w:rsidR="00C018E1" w:rsidRPr="0003575B" w:rsidRDefault="00C50C5E" w:rsidP="00C018E1">
      <w:pPr>
        <w:ind w:left="0" w:firstLine="0"/>
        <w:jc w:val="both"/>
        <w:rPr>
          <w:rFonts w:eastAsiaTheme="minorHAnsi"/>
          <w:color w:val="auto"/>
        </w:rPr>
      </w:pPr>
      <w:r w:rsidRPr="0003575B">
        <w:rPr>
          <w:rFonts w:eastAsiaTheme="minorHAnsi"/>
          <w:color w:val="auto"/>
        </w:rPr>
        <w:t xml:space="preserve">Financial risks include claims not being paid in full to ineligible expenditure or incorrect supporting evidence; this risk is carried by LCC as the delivering partner and accountable body.  This is mitigated by use of experienced staff in the management and delivery of the programme and the auditing and submission of the quarterly claims.  No claims to date have been rejected.  </w:t>
      </w:r>
    </w:p>
    <w:p w14:paraId="201CAB65" w14:textId="77777777" w:rsidR="00C018E1" w:rsidRPr="0003575B" w:rsidRDefault="001A7328" w:rsidP="00C018E1">
      <w:pPr>
        <w:ind w:left="0" w:firstLine="0"/>
        <w:jc w:val="both"/>
        <w:rPr>
          <w:rFonts w:eastAsiaTheme="minorHAnsi"/>
          <w:color w:val="auto"/>
        </w:rPr>
      </w:pPr>
    </w:p>
    <w:p w14:paraId="06E81803" w14:textId="77777777" w:rsidR="00C018E1" w:rsidRDefault="00C50C5E" w:rsidP="00C018E1">
      <w:pPr>
        <w:ind w:left="0" w:firstLine="0"/>
        <w:jc w:val="both"/>
        <w:rPr>
          <w:rFonts w:eastAsiaTheme="minorHAnsi"/>
          <w:color w:val="auto"/>
        </w:rPr>
      </w:pPr>
      <w:r w:rsidRPr="0003575B">
        <w:rPr>
          <w:rFonts w:eastAsiaTheme="minorHAnsi"/>
          <w:color w:val="auto"/>
        </w:rPr>
        <w:t xml:space="preserve">A further risk to the programme would be a lack of </w:t>
      </w:r>
      <w:proofErr w:type="gramStart"/>
      <w:r w:rsidRPr="0003575B">
        <w:rPr>
          <w:rFonts w:eastAsiaTheme="minorHAnsi"/>
          <w:color w:val="auto"/>
        </w:rPr>
        <w:t>engagement  by</w:t>
      </w:r>
      <w:proofErr w:type="gramEnd"/>
      <w:r w:rsidRPr="0003575B">
        <w:rPr>
          <w:rFonts w:eastAsiaTheme="minorHAnsi"/>
          <w:color w:val="auto"/>
        </w:rPr>
        <w:t xml:space="preserve"> the business community, </w:t>
      </w:r>
      <w:r>
        <w:rPr>
          <w:rFonts w:eastAsiaTheme="minorHAnsi"/>
          <w:color w:val="auto"/>
        </w:rPr>
        <w:t>this</w:t>
      </w:r>
      <w:r w:rsidRPr="0003575B">
        <w:rPr>
          <w:rFonts w:eastAsiaTheme="minorHAnsi"/>
          <w:color w:val="auto"/>
        </w:rPr>
        <w:t xml:space="preserve"> would result in not meeting targets and could have implications for future year's </w:t>
      </w:r>
      <w:r>
        <w:rPr>
          <w:rFonts w:eastAsiaTheme="minorHAnsi"/>
          <w:color w:val="auto"/>
        </w:rPr>
        <w:t>G</w:t>
      </w:r>
      <w:r w:rsidRPr="0003575B">
        <w:rPr>
          <w:rFonts w:eastAsiaTheme="minorHAnsi"/>
          <w:color w:val="auto"/>
        </w:rPr>
        <w:t xml:space="preserve">rowth </w:t>
      </w:r>
      <w:r>
        <w:rPr>
          <w:rFonts w:eastAsiaTheme="minorHAnsi"/>
          <w:color w:val="auto"/>
        </w:rPr>
        <w:t>H</w:t>
      </w:r>
      <w:r w:rsidRPr="0003575B">
        <w:rPr>
          <w:rFonts w:eastAsiaTheme="minorHAnsi"/>
          <w:color w:val="auto"/>
        </w:rPr>
        <w:t>ub support grants.  However, the BOOST Growth Hub is performing well in this regard.</w:t>
      </w:r>
    </w:p>
    <w:p w14:paraId="10EDE829" w14:textId="77777777" w:rsidR="00C018E1" w:rsidRDefault="001A7328" w:rsidP="00C018E1">
      <w:pPr>
        <w:ind w:left="0" w:firstLine="0"/>
        <w:jc w:val="both"/>
        <w:rPr>
          <w:rFonts w:eastAsiaTheme="minorHAnsi"/>
          <w:color w:val="auto"/>
        </w:rPr>
      </w:pPr>
    </w:p>
    <w:p w14:paraId="11F021CC" w14:textId="77777777" w:rsidR="00C018E1" w:rsidRPr="0003575B" w:rsidRDefault="00C50C5E" w:rsidP="00C018E1">
      <w:pPr>
        <w:ind w:left="0" w:firstLine="0"/>
        <w:jc w:val="both"/>
        <w:rPr>
          <w:rFonts w:eastAsiaTheme="minorHAnsi"/>
          <w:color w:val="auto"/>
        </w:rPr>
      </w:pPr>
      <w:r>
        <w:rPr>
          <w:rFonts w:eastAsiaTheme="minorHAnsi"/>
          <w:color w:val="auto"/>
        </w:rPr>
        <w:t xml:space="preserve">The Board are requested to note that approval to receive the 2021 grant award will also be requested at the June 21 LEP Board. </w:t>
      </w:r>
    </w:p>
    <w:p w14:paraId="444D4BBA" w14:textId="77777777" w:rsidR="00C018E1" w:rsidRPr="0003575B" w:rsidRDefault="001A7328" w:rsidP="00C018E1">
      <w:pPr>
        <w:ind w:left="0" w:firstLine="0"/>
        <w:jc w:val="both"/>
        <w:rPr>
          <w:rFonts w:eastAsiaTheme="minorHAnsi"/>
          <w:color w:val="auto"/>
        </w:rPr>
      </w:pPr>
    </w:p>
    <w:p w14:paraId="645EF662" w14:textId="77777777" w:rsidR="00C018E1" w:rsidRPr="0003575B" w:rsidRDefault="001A7328" w:rsidP="00C018E1">
      <w:pPr>
        <w:spacing w:after="0" w:line="240" w:lineRule="auto"/>
        <w:ind w:left="0" w:firstLine="0"/>
        <w:jc w:val="both"/>
      </w:pPr>
    </w:p>
    <w:p w14:paraId="2A1F094F" w14:textId="77777777" w:rsidR="00C018E1" w:rsidRPr="0003575B" w:rsidRDefault="00C50C5E" w:rsidP="00C018E1">
      <w:pPr>
        <w:spacing w:after="0" w:line="240" w:lineRule="auto"/>
        <w:ind w:left="0" w:firstLine="0"/>
        <w:jc w:val="both"/>
        <w:rPr>
          <w:b/>
        </w:rPr>
      </w:pPr>
      <w:r w:rsidRPr="0003575B">
        <w:rPr>
          <w:b/>
        </w:rPr>
        <w:t>2.3</w:t>
      </w:r>
      <w:r w:rsidRPr="0003575B">
        <w:rPr>
          <w:b/>
        </w:rPr>
        <w:tab/>
        <w:t>Growth Deal</w:t>
      </w:r>
    </w:p>
    <w:p w14:paraId="03B4F145" w14:textId="77777777" w:rsidR="00C018E1" w:rsidRPr="0003575B" w:rsidRDefault="001A7328" w:rsidP="00C018E1">
      <w:pPr>
        <w:spacing w:after="0" w:line="240" w:lineRule="auto"/>
        <w:ind w:left="0" w:firstLine="0"/>
        <w:jc w:val="both"/>
        <w:rPr>
          <w:b/>
        </w:rPr>
      </w:pPr>
    </w:p>
    <w:p w14:paraId="4F98A82D" w14:textId="77777777" w:rsidR="00C018E1" w:rsidRPr="002A1E9D" w:rsidRDefault="00C50C5E" w:rsidP="00C018E1">
      <w:pPr>
        <w:ind w:left="0" w:firstLine="0"/>
        <w:jc w:val="both"/>
      </w:pPr>
      <w:r w:rsidRPr="002A1E9D">
        <w:t xml:space="preserve">The Lancashire Growth Deal was originally awarded in July 2014 with £233.900m, this followed by a further award of £17.200m in January 2015 and finally a Growth Deal 3 award totalling £69.760m which was made in February 2017 taking the total Lancashire Growth Deal to £320.860m.   </w:t>
      </w:r>
    </w:p>
    <w:p w14:paraId="2E78A476" w14:textId="77777777" w:rsidR="00C018E1" w:rsidRPr="002A1E9D" w:rsidRDefault="00C50C5E" w:rsidP="00C018E1">
      <w:pPr>
        <w:ind w:left="0" w:firstLine="0"/>
        <w:jc w:val="both"/>
      </w:pPr>
      <w:r w:rsidRPr="002A1E9D">
        <w:t xml:space="preserve"> </w:t>
      </w:r>
    </w:p>
    <w:p w14:paraId="6549FBBC" w14:textId="77777777" w:rsidR="00C018E1" w:rsidRPr="002A1E9D" w:rsidRDefault="00C50C5E" w:rsidP="00C018E1">
      <w:pPr>
        <w:jc w:val="both"/>
      </w:pPr>
      <w:r w:rsidRPr="002A1E9D">
        <w:t xml:space="preserve">The breakdown of these awards is as </w:t>
      </w:r>
      <w:proofErr w:type="gramStart"/>
      <w:r w:rsidRPr="002A1E9D">
        <w:t>follows:-</w:t>
      </w:r>
      <w:proofErr w:type="gramEnd"/>
      <w:r w:rsidRPr="002A1E9D">
        <w:t xml:space="preserve">  </w:t>
      </w:r>
    </w:p>
    <w:p w14:paraId="624B5654" w14:textId="77777777" w:rsidR="00C018E1" w:rsidRPr="002A1E9D" w:rsidRDefault="00C50C5E" w:rsidP="00C018E1">
      <w:pPr>
        <w:ind w:left="0" w:firstLine="0"/>
        <w:jc w:val="both"/>
      </w:pPr>
      <w:r w:rsidRPr="002A1E9D">
        <w:t xml:space="preserve"> </w:t>
      </w:r>
    </w:p>
    <w:p w14:paraId="7F3BB817" w14:textId="77777777" w:rsidR="00C018E1" w:rsidRPr="002A1E9D" w:rsidRDefault="00C50C5E" w:rsidP="00C018E1">
      <w:pPr>
        <w:pStyle w:val="ListParagraph"/>
        <w:numPr>
          <w:ilvl w:val="0"/>
          <w:numId w:val="8"/>
        </w:numPr>
        <w:jc w:val="both"/>
      </w:pPr>
      <w:r w:rsidRPr="002A1E9D">
        <w:t xml:space="preserve">Local Growth fund project </w:t>
      </w:r>
      <w:proofErr w:type="gramStart"/>
      <w:r w:rsidRPr="002A1E9D">
        <w:t xml:space="preserve">allocations  </w:t>
      </w:r>
      <w:r w:rsidRPr="002A1E9D">
        <w:tab/>
      </w:r>
      <w:proofErr w:type="gramEnd"/>
      <w:r w:rsidRPr="002A1E9D">
        <w:t>£ 204.169m</w:t>
      </w:r>
    </w:p>
    <w:p w14:paraId="311259EB" w14:textId="332A8CFE" w:rsidR="00C018E1" w:rsidRPr="002A1E9D" w:rsidRDefault="00C50C5E" w:rsidP="00C018E1">
      <w:pPr>
        <w:pStyle w:val="ListParagraph"/>
        <w:numPr>
          <w:ilvl w:val="0"/>
          <w:numId w:val="8"/>
        </w:numPr>
        <w:jc w:val="both"/>
      </w:pPr>
      <w:r w:rsidRPr="002A1E9D">
        <w:t xml:space="preserve">Heysham Link </w:t>
      </w:r>
      <w:proofErr w:type="spellStart"/>
      <w:r w:rsidRPr="002A1E9D">
        <w:t>DfT</w:t>
      </w:r>
      <w:proofErr w:type="spellEnd"/>
      <w:r w:rsidRPr="002A1E9D">
        <w:t xml:space="preserve"> Tail </w:t>
      </w:r>
      <w:proofErr w:type="gramStart"/>
      <w:r w:rsidRPr="002A1E9D">
        <w:t xml:space="preserve">funding  </w:t>
      </w:r>
      <w:r w:rsidRPr="002A1E9D">
        <w:tab/>
      </w:r>
      <w:proofErr w:type="gramEnd"/>
      <w:r w:rsidRPr="002A1E9D">
        <w:tab/>
        <w:t>£</w:t>
      </w:r>
      <w:r w:rsidR="001A7328">
        <w:t xml:space="preserve"> </w:t>
      </w:r>
      <w:r w:rsidRPr="002A1E9D">
        <w:t xml:space="preserve">40.931m (monitored under original </w:t>
      </w:r>
      <w:proofErr w:type="spellStart"/>
      <w:r w:rsidRPr="002A1E9D">
        <w:t>DfT</w:t>
      </w:r>
      <w:proofErr w:type="spellEnd"/>
      <w:r w:rsidRPr="002A1E9D">
        <w:t xml:space="preserve"> scheme) </w:t>
      </w:r>
    </w:p>
    <w:p w14:paraId="2810671C" w14:textId="5AD99249" w:rsidR="00C018E1" w:rsidRPr="002A1E9D" w:rsidRDefault="00C50C5E" w:rsidP="00C018E1">
      <w:pPr>
        <w:pStyle w:val="ListParagraph"/>
        <w:numPr>
          <w:ilvl w:val="0"/>
          <w:numId w:val="8"/>
        </w:numPr>
        <w:jc w:val="both"/>
      </w:pPr>
      <w:proofErr w:type="spellStart"/>
      <w:r w:rsidRPr="002A1E9D">
        <w:t>Standen</w:t>
      </w:r>
      <w:proofErr w:type="spellEnd"/>
      <w:r w:rsidRPr="002A1E9D">
        <w:t xml:space="preserve"> housing Loan </w:t>
      </w:r>
      <w:proofErr w:type="gramStart"/>
      <w:r w:rsidRPr="002A1E9D">
        <w:t xml:space="preserve">fund  </w:t>
      </w:r>
      <w:r w:rsidRPr="002A1E9D">
        <w:tab/>
      </w:r>
      <w:proofErr w:type="gramEnd"/>
      <w:r w:rsidRPr="002A1E9D">
        <w:tab/>
        <w:t>£</w:t>
      </w:r>
      <w:r w:rsidR="001A7328">
        <w:t xml:space="preserve"> </w:t>
      </w:r>
      <w:r w:rsidRPr="002A1E9D">
        <w:t xml:space="preserve">6.000m (HCA facility not taken up) Growth Deal 3   </w:t>
      </w:r>
      <w:r w:rsidRPr="002A1E9D">
        <w:tab/>
      </w:r>
      <w:r w:rsidRPr="002A1E9D">
        <w:tab/>
      </w:r>
      <w:r w:rsidRPr="002A1E9D">
        <w:tab/>
      </w:r>
      <w:r w:rsidRPr="002A1E9D">
        <w:tab/>
      </w:r>
      <w:r w:rsidRPr="00C070BC">
        <w:rPr>
          <w:u w:val="single"/>
        </w:rPr>
        <w:t>£ 69.760m</w:t>
      </w:r>
      <w:r w:rsidRPr="002A1E9D">
        <w:t xml:space="preserve">*       </w:t>
      </w:r>
    </w:p>
    <w:p w14:paraId="185075BD" w14:textId="77777777" w:rsidR="00C018E1" w:rsidRPr="002A1E9D" w:rsidRDefault="00C50C5E" w:rsidP="00C018E1">
      <w:pPr>
        <w:ind w:left="4320" w:firstLine="720"/>
        <w:jc w:val="both"/>
        <w:rPr>
          <w:u w:val="single"/>
        </w:rPr>
      </w:pPr>
      <w:r w:rsidRPr="002A1E9D">
        <w:rPr>
          <w:u w:val="single"/>
        </w:rPr>
        <w:lastRenderedPageBreak/>
        <w:t xml:space="preserve">£ 320.860m  </w:t>
      </w:r>
    </w:p>
    <w:p w14:paraId="61C1A1F5" w14:textId="77777777" w:rsidR="00C018E1" w:rsidRPr="002A1E9D" w:rsidRDefault="00C50C5E" w:rsidP="00C018E1">
      <w:pPr>
        <w:ind w:left="0" w:firstLine="0"/>
        <w:jc w:val="both"/>
      </w:pPr>
      <w:r w:rsidRPr="002A1E9D">
        <w:t xml:space="preserve"> </w:t>
      </w:r>
    </w:p>
    <w:p w14:paraId="5C6F2D16" w14:textId="77777777" w:rsidR="00C018E1" w:rsidRPr="002A1E9D" w:rsidRDefault="00C50C5E" w:rsidP="00C018E1">
      <w:pPr>
        <w:ind w:left="0" w:firstLine="0"/>
        <w:jc w:val="both"/>
      </w:pPr>
      <w:r w:rsidRPr="002A1E9D">
        <w:t xml:space="preserve">The £273.929m* Local Growth Fund Monies are paid to Lancashire County Council (LCC) as the Accountable Body for the Lancashire Enterprise Partnership (LEP).  </w:t>
      </w:r>
    </w:p>
    <w:p w14:paraId="30219337" w14:textId="77777777" w:rsidR="00C018E1" w:rsidRPr="002A1E9D" w:rsidRDefault="00C50C5E" w:rsidP="00C018E1">
      <w:pPr>
        <w:ind w:left="0" w:firstLine="0"/>
        <w:jc w:val="both"/>
      </w:pPr>
      <w:r w:rsidRPr="002A1E9D">
        <w:t xml:space="preserve"> </w:t>
      </w:r>
    </w:p>
    <w:p w14:paraId="13195FE1" w14:textId="77777777" w:rsidR="00C018E1" w:rsidRPr="002A1E9D" w:rsidRDefault="00C50C5E" w:rsidP="00C018E1">
      <w:pPr>
        <w:jc w:val="both"/>
        <w:rPr>
          <w:b/>
        </w:rPr>
      </w:pPr>
      <w:r w:rsidRPr="002A1E9D">
        <w:rPr>
          <w:b/>
        </w:rPr>
        <w:t>Spend to 31</w:t>
      </w:r>
      <w:r w:rsidRPr="002A1E9D">
        <w:rPr>
          <w:b/>
          <w:vertAlign w:val="superscript"/>
        </w:rPr>
        <w:t>st</w:t>
      </w:r>
      <w:r w:rsidRPr="002A1E9D">
        <w:rPr>
          <w:b/>
        </w:rPr>
        <w:t xml:space="preserve"> March 2021</w:t>
      </w:r>
    </w:p>
    <w:p w14:paraId="4F7FE55F" w14:textId="77777777" w:rsidR="00C018E1" w:rsidRPr="002A1E9D" w:rsidRDefault="001A7328" w:rsidP="00C018E1">
      <w:pPr>
        <w:ind w:left="0" w:firstLine="0"/>
        <w:jc w:val="both"/>
        <w:rPr>
          <w:b/>
        </w:rPr>
      </w:pPr>
    </w:p>
    <w:p w14:paraId="788F54E9" w14:textId="77777777" w:rsidR="00C018E1" w:rsidRPr="002A1E9D" w:rsidRDefault="00C50C5E" w:rsidP="00C018E1">
      <w:pPr>
        <w:ind w:left="0" w:firstLine="0"/>
        <w:jc w:val="both"/>
      </w:pPr>
      <w:r w:rsidRPr="002A1E9D">
        <w:t xml:space="preserve">The total payments relating to the first five full years that have been paid to date are in the table below.   </w:t>
      </w:r>
    </w:p>
    <w:p w14:paraId="2DB961F6" w14:textId="77777777" w:rsidR="00C018E1" w:rsidRPr="002A1E9D" w:rsidRDefault="001A7328" w:rsidP="00C018E1">
      <w:pPr>
        <w:ind w:left="0" w:firstLine="0"/>
        <w:jc w:val="both"/>
      </w:pPr>
    </w:p>
    <w:tbl>
      <w:tblPr>
        <w:tblStyle w:val="TableGrid"/>
        <w:tblW w:w="9776" w:type="dxa"/>
        <w:tblLook w:val="04A0" w:firstRow="1" w:lastRow="0" w:firstColumn="1" w:lastColumn="0" w:noHBand="0" w:noVBand="1"/>
      </w:tblPr>
      <w:tblGrid>
        <w:gridCol w:w="1510"/>
        <w:gridCol w:w="1122"/>
        <w:gridCol w:w="1067"/>
        <w:gridCol w:w="1122"/>
        <w:gridCol w:w="1160"/>
        <w:gridCol w:w="1126"/>
        <w:gridCol w:w="1142"/>
        <w:gridCol w:w="1527"/>
      </w:tblGrid>
      <w:tr w:rsidR="00E5321E" w14:paraId="1BA31392" w14:textId="77777777" w:rsidTr="00E14DFB">
        <w:tc>
          <w:tcPr>
            <w:tcW w:w="1444" w:type="dxa"/>
            <w:shd w:val="clear" w:color="auto" w:fill="E7E6E6" w:themeFill="background2"/>
          </w:tcPr>
          <w:p w14:paraId="3BEFE2D3" w14:textId="77777777" w:rsidR="00C018E1" w:rsidRPr="0003575B" w:rsidRDefault="001A7328" w:rsidP="00E14DFB">
            <w:pPr>
              <w:ind w:left="0" w:firstLine="0"/>
              <w:jc w:val="both"/>
              <w:rPr>
                <w:b/>
                <w:bCs/>
              </w:rPr>
            </w:pPr>
          </w:p>
        </w:tc>
        <w:tc>
          <w:tcPr>
            <w:tcW w:w="1129" w:type="dxa"/>
            <w:shd w:val="clear" w:color="auto" w:fill="E7E6E6" w:themeFill="background2"/>
          </w:tcPr>
          <w:p w14:paraId="7CDD84ED" w14:textId="77777777" w:rsidR="00C018E1" w:rsidRPr="0003575B" w:rsidRDefault="00C50C5E" w:rsidP="00E14DFB">
            <w:pPr>
              <w:ind w:left="0" w:firstLine="0"/>
              <w:jc w:val="both"/>
              <w:rPr>
                <w:b/>
                <w:bCs/>
              </w:rPr>
            </w:pPr>
            <w:r w:rsidRPr="0003575B">
              <w:rPr>
                <w:b/>
                <w:bCs/>
              </w:rPr>
              <w:t>2015-16</w:t>
            </w:r>
          </w:p>
        </w:tc>
        <w:tc>
          <w:tcPr>
            <w:tcW w:w="1075" w:type="dxa"/>
            <w:shd w:val="clear" w:color="auto" w:fill="E7E6E6" w:themeFill="background2"/>
          </w:tcPr>
          <w:p w14:paraId="594174DA" w14:textId="77777777" w:rsidR="00C018E1" w:rsidRPr="0003575B" w:rsidRDefault="00C50C5E" w:rsidP="00E14DFB">
            <w:pPr>
              <w:ind w:left="0" w:firstLine="0"/>
              <w:jc w:val="both"/>
              <w:rPr>
                <w:b/>
                <w:bCs/>
              </w:rPr>
            </w:pPr>
            <w:r w:rsidRPr="0003575B">
              <w:rPr>
                <w:b/>
                <w:bCs/>
              </w:rPr>
              <w:t>2016-17</w:t>
            </w:r>
          </w:p>
        </w:tc>
        <w:tc>
          <w:tcPr>
            <w:tcW w:w="1129" w:type="dxa"/>
            <w:shd w:val="clear" w:color="auto" w:fill="E7E6E6" w:themeFill="background2"/>
          </w:tcPr>
          <w:p w14:paraId="3F2CB9AB" w14:textId="77777777" w:rsidR="00C018E1" w:rsidRPr="0003575B" w:rsidRDefault="00C50C5E" w:rsidP="00E14DFB">
            <w:pPr>
              <w:ind w:left="0" w:firstLine="0"/>
              <w:jc w:val="both"/>
              <w:rPr>
                <w:b/>
                <w:bCs/>
              </w:rPr>
            </w:pPr>
            <w:r w:rsidRPr="0003575B">
              <w:rPr>
                <w:b/>
                <w:bCs/>
              </w:rPr>
              <w:t>2017-18</w:t>
            </w:r>
          </w:p>
        </w:tc>
        <w:tc>
          <w:tcPr>
            <w:tcW w:w="1165" w:type="dxa"/>
            <w:shd w:val="clear" w:color="auto" w:fill="E7E6E6" w:themeFill="background2"/>
          </w:tcPr>
          <w:p w14:paraId="31DBB33B" w14:textId="77777777" w:rsidR="00C018E1" w:rsidRPr="0003575B" w:rsidRDefault="00C50C5E" w:rsidP="00E14DFB">
            <w:pPr>
              <w:ind w:left="0" w:firstLine="0"/>
              <w:jc w:val="both"/>
              <w:rPr>
                <w:b/>
                <w:bCs/>
              </w:rPr>
            </w:pPr>
            <w:r w:rsidRPr="0003575B">
              <w:rPr>
                <w:b/>
                <w:bCs/>
              </w:rPr>
              <w:t>2018-19</w:t>
            </w:r>
          </w:p>
        </w:tc>
        <w:tc>
          <w:tcPr>
            <w:tcW w:w="1129" w:type="dxa"/>
            <w:shd w:val="clear" w:color="auto" w:fill="E7E6E6" w:themeFill="background2"/>
          </w:tcPr>
          <w:p w14:paraId="5477BDAB" w14:textId="77777777" w:rsidR="00C018E1" w:rsidRPr="0003575B" w:rsidRDefault="00C50C5E" w:rsidP="00E14DFB">
            <w:pPr>
              <w:ind w:left="0" w:firstLine="0"/>
              <w:jc w:val="both"/>
              <w:rPr>
                <w:b/>
                <w:bCs/>
              </w:rPr>
            </w:pPr>
            <w:r w:rsidRPr="0003575B">
              <w:rPr>
                <w:b/>
                <w:bCs/>
              </w:rPr>
              <w:t xml:space="preserve">2019-20 </w:t>
            </w:r>
          </w:p>
        </w:tc>
        <w:tc>
          <w:tcPr>
            <w:tcW w:w="1146" w:type="dxa"/>
            <w:shd w:val="clear" w:color="auto" w:fill="E7E6E6" w:themeFill="background2"/>
          </w:tcPr>
          <w:p w14:paraId="10B41DCB" w14:textId="77777777" w:rsidR="00C018E1" w:rsidRPr="0003575B" w:rsidRDefault="00C50C5E" w:rsidP="00E14DFB">
            <w:pPr>
              <w:ind w:left="0" w:firstLine="0"/>
              <w:jc w:val="both"/>
              <w:rPr>
                <w:b/>
                <w:bCs/>
              </w:rPr>
            </w:pPr>
            <w:r w:rsidRPr="0003575B">
              <w:rPr>
                <w:b/>
                <w:bCs/>
              </w:rPr>
              <w:t>2020-21</w:t>
            </w:r>
          </w:p>
        </w:tc>
        <w:tc>
          <w:tcPr>
            <w:tcW w:w="1559" w:type="dxa"/>
            <w:shd w:val="clear" w:color="auto" w:fill="E7E6E6" w:themeFill="background2"/>
          </w:tcPr>
          <w:p w14:paraId="68E7B1F6" w14:textId="77777777" w:rsidR="00C018E1" w:rsidRPr="0003575B" w:rsidRDefault="00C50C5E" w:rsidP="00E14DFB">
            <w:pPr>
              <w:ind w:left="0" w:firstLine="0"/>
              <w:jc w:val="both"/>
              <w:rPr>
                <w:b/>
                <w:bCs/>
              </w:rPr>
            </w:pPr>
            <w:r w:rsidRPr="0003575B">
              <w:rPr>
                <w:b/>
                <w:bCs/>
              </w:rPr>
              <w:t>Total</w:t>
            </w:r>
          </w:p>
        </w:tc>
      </w:tr>
      <w:tr w:rsidR="00E5321E" w14:paraId="2DCD6BCC" w14:textId="77777777" w:rsidTr="00E14DFB">
        <w:tc>
          <w:tcPr>
            <w:tcW w:w="1444" w:type="dxa"/>
          </w:tcPr>
          <w:p w14:paraId="5A327C6A" w14:textId="77777777" w:rsidR="00C018E1" w:rsidRPr="0003575B" w:rsidRDefault="001A7328" w:rsidP="00E14DFB">
            <w:pPr>
              <w:ind w:left="0" w:firstLine="0"/>
              <w:jc w:val="both"/>
              <w:rPr>
                <w:b/>
                <w:bCs/>
              </w:rPr>
            </w:pPr>
          </w:p>
        </w:tc>
        <w:tc>
          <w:tcPr>
            <w:tcW w:w="1129" w:type="dxa"/>
          </w:tcPr>
          <w:p w14:paraId="5DDBC712" w14:textId="77777777" w:rsidR="00C018E1" w:rsidRPr="002A1E9D" w:rsidRDefault="00C50C5E" w:rsidP="00E14DFB">
            <w:pPr>
              <w:ind w:left="0" w:firstLine="0"/>
              <w:jc w:val="both"/>
            </w:pPr>
            <w:r w:rsidRPr="002A1E9D">
              <w:t>£m</w:t>
            </w:r>
          </w:p>
        </w:tc>
        <w:tc>
          <w:tcPr>
            <w:tcW w:w="1075" w:type="dxa"/>
          </w:tcPr>
          <w:p w14:paraId="5370F234" w14:textId="77777777" w:rsidR="00C018E1" w:rsidRPr="002A1E9D" w:rsidRDefault="00C50C5E" w:rsidP="00E14DFB">
            <w:pPr>
              <w:ind w:left="0" w:firstLine="0"/>
              <w:jc w:val="both"/>
            </w:pPr>
            <w:r w:rsidRPr="002A1E9D">
              <w:t>£m</w:t>
            </w:r>
          </w:p>
        </w:tc>
        <w:tc>
          <w:tcPr>
            <w:tcW w:w="1129" w:type="dxa"/>
          </w:tcPr>
          <w:p w14:paraId="2F08879D" w14:textId="77777777" w:rsidR="00C018E1" w:rsidRPr="002A1E9D" w:rsidRDefault="00C50C5E" w:rsidP="00E14DFB">
            <w:pPr>
              <w:ind w:left="0" w:firstLine="0"/>
              <w:jc w:val="both"/>
            </w:pPr>
            <w:r w:rsidRPr="002A1E9D">
              <w:t>£m</w:t>
            </w:r>
          </w:p>
        </w:tc>
        <w:tc>
          <w:tcPr>
            <w:tcW w:w="1165" w:type="dxa"/>
          </w:tcPr>
          <w:p w14:paraId="754759E3" w14:textId="77777777" w:rsidR="00C018E1" w:rsidRPr="002A1E9D" w:rsidRDefault="00C50C5E" w:rsidP="00E14DFB">
            <w:pPr>
              <w:ind w:left="0" w:firstLine="0"/>
              <w:jc w:val="both"/>
            </w:pPr>
            <w:r w:rsidRPr="002A1E9D">
              <w:t>£m</w:t>
            </w:r>
          </w:p>
        </w:tc>
        <w:tc>
          <w:tcPr>
            <w:tcW w:w="1129" w:type="dxa"/>
          </w:tcPr>
          <w:p w14:paraId="4D506116" w14:textId="77777777" w:rsidR="00C018E1" w:rsidRPr="002A1E9D" w:rsidRDefault="00C50C5E" w:rsidP="00E14DFB">
            <w:pPr>
              <w:ind w:left="0" w:firstLine="0"/>
              <w:jc w:val="both"/>
            </w:pPr>
            <w:r w:rsidRPr="002A1E9D">
              <w:t>£m</w:t>
            </w:r>
          </w:p>
        </w:tc>
        <w:tc>
          <w:tcPr>
            <w:tcW w:w="1146" w:type="dxa"/>
          </w:tcPr>
          <w:p w14:paraId="1FA95A24" w14:textId="77777777" w:rsidR="00C018E1" w:rsidRPr="002A1E9D" w:rsidRDefault="00C50C5E" w:rsidP="00E14DFB">
            <w:pPr>
              <w:ind w:left="0" w:firstLine="0"/>
              <w:jc w:val="both"/>
            </w:pPr>
            <w:r w:rsidRPr="002A1E9D">
              <w:t>£m</w:t>
            </w:r>
          </w:p>
        </w:tc>
        <w:tc>
          <w:tcPr>
            <w:tcW w:w="1559" w:type="dxa"/>
          </w:tcPr>
          <w:p w14:paraId="3EF3E60E" w14:textId="77777777" w:rsidR="00C018E1" w:rsidRPr="0003575B" w:rsidRDefault="00C50C5E" w:rsidP="00E14DFB">
            <w:pPr>
              <w:ind w:left="0" w:firstLine="0"/>
              <w:jc w:val="both"/>
              <w:rPr>
                <w:b/>
                <w:bCs/>
              </w:rPr>
            </w:pPr>
            <w:r w:rsidRPr="0003575B">
              <w:rPr>
                <w:b/>
                <w:bCs/>
              </w:rPr>
              <w:t>£m</w:t>
            </w:r>
          </w:p>
        </w:tc>
      </w:tr>
      <w:tr w:rsidR="00E5321E" w14:paraId="10D2C256" w14:textId="77777777" w:rsidTr="00E14DFB">
        <w:tc>
          <w:tcPr>
            <w:tcW w:w="1444" w:type="dxa"/>
          </w:tcPr>
          <w:p w14:paraId="3CAD3A3D" w14:textId="77777777" w:rsidR="00C018E1" w:rsidRPr="0003575B" w:rsidRDefault="00C50C5E" w:rsidP="00E14DFB">
            <w:pPr>
              <w:ind w:left="0" w:firstLine="0"/>
              <w:rPr>
                <w:b/>
                <w:bCs/>
              </w:rPr>
            </w:pPr>
            <w:r w:rsidRPr="0003575B">
              <w:rPr>
                <w:b/>
                <w:bCs/>
              </w:rPr>
              <w:t>Payments made to GD Projects</w:t>
            </w:r>
          </w:p>
        </w:tc>
        <w:tc>
          <w:tcPr>
            <w:tcW w:w="1129" w:type="dxa"/>
          </w:tcPr>
          <w:p w14:paraId="5CA01ACA" w14:textId="77777777" w:rsidR="00C018E1" w:rsidRPr="002A1E9D" w:rsidRDefault="00C50C5E" w:rsidP="00E14DFB">
            <w:pPr>
              <w:ind w:left="0" w:firstLine="0"/>
              <w:jc w:val="both"/>
            </w:pPr>
            <w:r w:rsidRPr="002A1E9D">
              <w:t>30.510</w:t>
            </w:r>
          </w:p>
        </w:tc>
        <w:tc>
          <w:tcPr>
            <w:tcW w:w="1075" w:type="dxa"/>
          </w:tcPr>
          <w:p w14:paraId="05308F0E" w14:textId="77777777" w:rsidR="00C018E1" w:rsidRPr="002A1E9D" w:rsidRDefault="00C50C5E" w:rsidP="00E14DFB">
            <w:pPr>
              <w:ind w:left="0" w:firstLine="0"/>
              <w:jc w:val="both"/>
            </w:pPr>
            <w:r w:rsidRPr="002A1E9D">
              <w:t>25.622</w:t>
            </w:r>
          </w:p>
        </w:tc>
        <w:tc>
          <w:tcPr>
            <w:tcW w:w="1129" w:type="dxa"/>
          </w:tcPr>
          <w:p w14:paraId="32ECAD21" w14:textId="77777777" w:rsidR="00C018E1" w:rsidRPr="002A1E9D" w:rsidRDefault="00C50C5E" w:rsidP="00E14DFB">
            <w:pPr>
              <w:ind w:left="0" w:firstLine="0"/>
              <w:jc w:val="both"/>
            </w:pPr>
            <w:r w:rsidRPr="002A1E9D">
              <w:t>32.232</w:t>
            </w:r>
          </w:p>
        </w:tc>
        <w:tc>
          <w:tcPr>
            <w:tcW w:w="1165" w:type="dxa"/>
          </w:tcPr>
          <w:p w14:paraId="3CBAA8CD" w14:textId="77777777" w:rsidR="00C018E1" w:rsidRPr="002A1E9D" w:rsidRDefault="00C50C5E" w:rsidP="00E14DFB">
            <w:pPr>
              <w:ind w:left="0" w:firstLine="0"/>
              <w:jc w:val="both"/>
            </w:pPr>
            <w:r w:rsidRPr="002A1E9D">
              <w:t>31.399</w:t>
            </w:r>
          </w:p>
        </w:tc>
        <w:tc>
          <w:tcPr>
            <w:tcW w:w="1129" w:type="dxa"/>
          </w:tcPr>
          <w:p w14:paraId="5FEA83D5" w14:textId="77777777" w:rsidR="00C018E1" w:rsidRPr="002A1E9D" w:rsidRDefault="00C50C5E" w:rsidP="00E14DFB">
            <w:pPr>
              <w:ind w:left="0" w:firstLine="0"/>
              <w:jc w:val="both"/>
            </w:pPr>
            <w:r w:rsidRPr="002A1E9D">
              <w:t>39.247</w:t>
            </w:r>
          </w:p>
        </w:tc>
        <w:tc>
          <w:tcPr>
            <w:tcW w:w="1146" w:type="dxa"/>
          </w:tcPr>
          <w:p w14:paraId="42D06788" w14:textId="77777777" w:rsidR="00C018E1" w:rsidRPr="002A1E9D" w:rsidRDefault="00C50C5E" w:rsidP="00E14DFB">
            <w:pPr>
              <w:ind w:left="0" w:firstLine="0"/>
              <w:jc w:val="both"/>
            </w:pPr>
            <w:r w:rsidRPr="002A1E9D">
              <w:t>97.573</w:t>
            </w:r>
          </w:p>
        </w:tc>
        <w:tc>
          <w:tcPr>
            <w:tcW w:w="1559" w:type="dxa"/>
          </w:tcPr>
          <w:p w14:paraId="5020AE7D" w14:textId="77777777" w:rsidR="00C018E1" w:rsidRPr="0003575B" w:rsidRDefault="00C50C5E" w:rsidP="00E14DFB">
            <w:pPr>
              <w:ind w:left="0" w:firstLine="0"/>
              <w:jc w:val="both"/>
              <w:rPr>
                <w:b/>
                <w:bCs/>
              </w:rPr>
            </w:pPr>
            <w:r w:rsidRPr="0003575B">
              <w:rPr>
                <w:b/>
                <w:bCs/>
              </w:rPr>
              <w:t>25</w:t>
            </w:r>
            <w:r>
              <w:rPr>
                <w:b/>
                <w:bCs/>
              </w:rPr>
              <w:t>6</w:t>
            </w:r>
            <w:r w:rsidRPr="0003575B">
              <w:rPr>
                <w:b/>
                <w:bCs/>
              </w:rPr>
              <w:t>.583</w:t>
            </w:r>
          </w:p>
        </w:tc>
      </w:tr>
      <w:tr w:rsidR="00E5321E" w14:paraId="01B1ECEF" w14:textId="77777777" w:rsidTr="00E14DFB">
        <w:tc>
          <w:tcPr>
            <w:tcW w:w="1444" w:type="dxa"/>
          </w:tcPr>
          <w:p w14:paraId="00761751" w14:textId="77777777" w:rsidR="00C018E1" w:rsidRPr="0003575B" w:rsidRDefault="00C50C5E" w:rsidP="00E14DFB">
            <w:pPr>
              <w:ind w:left="0" w:firstLine="0"/>
              <w:rPr>
                <w:b/>
                <w:bCs/>
              </w:rPr>
            </w:pPr>
            <w:r w:rsidRPr="0003575B">
              <w:rPr>
                <w:b/>
                <w:bCs/>
              </w:rPr>
              <w:t>Temporary payments to other schemes</w:t>
            </w:r>
          </w:p>
        </w:tc>
        <w:tc>
          <w:tcPr>
            <w:tcW w:w="1129" w:type="dxa"/>
          </w:tcPr>
          <w:p w14:paraId="4D692922" w14:textId="77777777" w:rsidR="00C018E1" w:rsidRPr="002A1E9D" w:rsidRDefault="00C50C5E" w:rsidP="00E14DFB">
            <w:pPr>
              <w:ind w:left="0" w:firstLine="0"/>
              <w:jc w:val="both"/>
            </w:pPr>
            <w:r w:rsidRPr="002A1E9D">
              <w:t>8.840</w:t>
            </w:r>
          </w:p>
        </w:tc>
        <w:tc>
          <w:tcPr>
            <w:tcW w:w="1075" w:type="dxa"/>
          </w:tcPr>
          <w:p w14:paraId="565BEBB9" w14:textId="77777777" w:rsidR="00C018E1" w:rsidRPr="002A1E9D" w:rsidRDefault="00C50C5E" w:rsidP="00E14DFB">
            <w:pPr>
              <w:ind w:left="0" w:firstLine="0"/>
              <w:jc w:val="both"/>
            </w:pPr>
            <w:r w:rsidRPr="002A1E9D">
              <w:t>27.781</w:t>
            </w:r>
          </w:p>
        </w:tc>
        <w:tc>
          <w:tcPr>
            <w:tcW w:w="1129" w:type="dxa"/>
          </w:tcPr>
          <w:p w14:paraId="1F6EEC81" w14:textId="77777777" w:rsidR="00C018E1" w:rsidRPr="002A1E9D" w:rsidRDefault="00C50C5E" w:rsidP="00E14DFB">
            <w:pPr>
              <w:ind w:left="0" w:firstLine="0"/>
              <w:jc w:val="both"/>
            </w:pPr>
            <w:r w:rsidRPr="002A1E9D">
              <w:t>12.487</w:t>
            </w:r>
          </w:p>
        </w:tc>
        <w:tc>
          <w:tcPr>
            <w:tcW w:w="1165" w:type="dxa"/>
          </w:tcPr>
          <w:p w14:paraId="7D73D199" w14:textId="77777777" w:rsidR="00C018E1" w:rsidRPr="002A1E9D" w:rsidRDefault="00C50C5E" w:rsidP="00E14DFB">
            <w:pPr>
              <w:ind w:left="0" w:firstLine="0"/>
              <w:jc w:val="both"/>
            </w:pPr>
            <w:r w:rsidRPr="002A1E9D">
              <w:t>3.457</w:t>
            </w:r>
          </w:p>
        </w:tc>
        <w:tc>
          <w:tcPr>
            <w:tcW w:w="1129" w:type="dxa"/>
          </w:tcPr>
          <w:p w14:paraId="5F3CD863" w14:textId="77777777" w:rsidR="00C018E1" w:rsidRPr="002A1E9D" w:rsidRDefault="00C50C5E" w:rsidP="00E14DFB">
            <w:pPr>
              <w:ind w:left="0" w:firstLine="0"/>
              <w:jc w:val="both"/>
            </w:pPr>
            <w:r w:rsidRPr="002A1E9D">
              <w:t>17.377</w:t>
            </w:r>
          </w:p>
        </w:tc>
        <w:tc>
          <w:tcPr>
            <w:tcW w:w="1146" w:type="dxa"/>
          </w:tcPr>
          <w:p w14:paraId="3C4626E8" w14:textId="77777777" w:rsidR="00C018E1" w:rsidRPr="002A1E9D" w:rsidRDefault="00C50C5E" w:rsidP="00E14DFB">
            <w:pPr>
              <w:ind w:left="0" w:firstLine="0"/>
              <w:jc w:val="both"/>
            </w:pPr>
            <w:r w:rsidRPr="002A1E9D">
              <w:t>-52.595</w:t>
            </w:r>
          </w:p>
        </w:tc>
        <w:tc>
          <w:tcPr>
            <w:tcW w:w="1559" w:type="dxa"/>
          </w:tcPr>
          <w:p w14:paraId="6A4F5D0F" w14:textId="77777777" w:rsidR="00C018E1" w:rsidRPr="0003575B" w:rsidRDefault="00C50C5E" w:rsidP="00E14DFB">
            <w:pPr>
              <w:ind w:left="0" w:firstLine="0"/>
              <w:jc w:val="both"/>
              <w:rPr>
                <w:b/>
                <w:bCs/>
              </w:rPr>
            </w:pPr>
            <w:r w:rsidRPr="0003575B">
              <w:rPr>
                <w:b/>
                <w:bCs/>
              </w:rPr>
              <w:t>17.347</w:t>
            </w:r>
          </w:p>
        </w:tc>
      </w:tr>
      <w:tr w:rsidR="00E5321E" w14:paraId="67B4B77A" w14:textId="77777777" w:rsidTr="00E14DFB">
        <w:tc>
          <w:tcPr>
            <w:tcW w:w="1444" w:type="dxa"/>
          </w:tcPr>
          <w:p w14:paraId="21DB3031" w14:textId="77777777" w:rsidR="00C018E1" w:rsidRPr="0003575B" w:rsidRDefault="00C50C5E" w:rsidP="00E14DFB">
            <w:pPr>
              <w:ind w:left="0" w:firstLine="0"/>
              <w:rPr>
                <w:b/>
                <w:bCs/>
              </w:rPr>
            </w:pPr>
            <w:r w:rsidRPr="0003575B">
              <w:rPr>
                <w:b/>
                <w:bCs/>
              </w:rPr>
              <w:t>Total Payments in year</w:t>
            </w:r>
          </w:p>
        </w:tc>
        <w:tc>
          <w:tcPr>
            <w:tcW w:w="1129" w:type="dxa"/>
          </w:tcPr>
          <w:p w14:paraId="70D49773" w14:textId="77777777" w:rsidR="00C018E1" w:rsidRPr="002A1E9D" w:rsidRDefault="00C50C5E" w:rsidP="00E14DFB">
            <w:pPr>
              <w:ind w:left="0" w:firstLine="0"/>
              <w:jc w:val="both"/>
            </w:pPr>
            <w:r w:rsidRPr="002A1E9D">
              <w:t>39.350</w:t>
            </w:r>
          </w:p>
        </w:tc>
        <w:tc>
          <w:tcPr>
            <w:tcW w:w="1075" w:type="dxa"/>
          </w:tcPr>
          <w:p w14:paraId="26C30AD8" w14:textId="77777777" w:rsidR="00C018E1" w:rsidRPr="002A1E9D" w:rsidRDefault="00C50C5E" w:rsidP="00E14DFB">
            <w:pPr>
              <w:ind w:left="0" w:firstLine="0"/>
              <w:jc w:val="both"/>
            </w:pPr>
            <w:r w:rsidRPr="002A1E9D">
              <w:t>53.403</w:t>
            </w:r>
          </w:p>
        </w:tc>
        <w:tc>
          <w:tcPr>
            <w:tcW w:w="1129" w:type="dxa"/>
          </w:tcPr>
          <w:p w14:paraId="2383C1E2" w14:textId="77777777" w:rsidR="00C018E1" w:rsidRPr="002A1E9D" w:rsidRDefault="00C50C5E" w:rsidP="00E14DFB">
            <w:pPr>
              <w:ind w:left="0" w:firstLine="0"/>
              <w:jc w:val="both"/>
            </w:pPr>
            <w:r w:rsidRPr="002A1E9D">
              <w:t>44.719</w:t>
            </w:r>
          </w:p>
        </w:tc>
        <w:tc>
          <w:tcPr>
            <w:tcW w:w="1165" w:type="dxa"/>
          </w:tcPr>
          <w:p w14:paraId="10B1C489" w14:textId="77777777" w:rsidR="00C018E1" w:rsidRPr="002A1E9D" w:rsidRDefault="00C50C5E" w:rsidP="00E14DFB">
            <w:pPr>
              <w:ind w:left="0" w:firstLine="0"/>
              <w:jc w:val="both"/>
            </w:pPr>
            <w:r w:rsidRPr="002A1E9D">
              <w:t>34.856</w:t>
            </w:r>
          </w:p>
        </w:tc>
        <w:tc>
          <w:tcPr>
            <w:tcW w:w="1129" w:type="dxa"/>
          </w:tcPr>
          <w:p w14:paraId="0ECD6F8C" w14:textId="77777777" w:rsidR="00C018E1" w:rsidRPr="002A1E9D" w:rsidRDefault="00C50C5E" w:rsidP="00E14DFB">
            <w:pPr>
              <w:ind w:left="0" w:firstLine="0"/>
              <w:jc w:val="both"/>
            </w:pPr>
            <w:r w:rsidRPr="002A1E9D">
              <w:t>56.624</w:t>
            </w:r>
          </w:p>
        </w:tc>
        <w:tc>
          <w:tcPr>
            <w:tcW w:w="1146" w:type="dxa"/>
          </w:tcPr>
          <w:p w14:paraId="7A3D150A" w14:textId="77777777" w:rsidR="00C018E1" w:rsidRPr="002A1E9D" w:rsidRDefault="00C50C5E" w:rsidP="00E14DFB">
            <w:pPr>
              <w:ind w:left="0" w:firstLine="0"/>
              <w:jc w:val="both"/>
            </w:pPr>
            <w:r w:rsidRPr="002A1E9D">
              <w:t>44.978</w:t>
            </w:r>
          </w:p>
        </w:tc>
        <w:tc>
          <w:tcPr>
            <w:tcW w:w="1559" w:type="dxa"/>
          </w:tcPr>
          <w:p w14:paraId="145D0FE8" w14:textId="77777777" w:rsidR="00C018E1" w:rsidRPr="0003575B" w:rsidRDefault="00C50C5E" w:rsidP="00E14DFB">
            <w:pPr>
              <w:ind w:left="0" w:firstLine="0"/>
              <w:jc w:val="both"/>
              <w:rPr>
                <w:b/>
                <w:bCs/>
              </w:rPr>
            </w:pPr>
            <w:r w:rsidRPr="0003575B">
              <w:rPr>
                <w:b/>
                <w:bCs/>
              </w:rPr>
              <w:t>273.930</w:t>
            </w:r>
          </w:p>
          <w:p w14:paraId="5137E0B7" w14:textId="77777777" w:rsidR="00C018E1" w:rsidRPr="0003575B" w:rsidRDefault="001A7328" w:rsidP="00E14DFB">
            <w:pPr>
              <w:ind w:left="0" w:firstLine="0"/>
              <w:jc w:val="both"/>
              <w:rPr>
                <w:b/>
                <w:bCs/>
              </w:rPr>
            </w:pPr>
          </w:p>
        </w:tc>
      </w:tr>
      <w:tr w:rsidR="00E5321E" w14:paraId="151E667E" w14:textId="77777777" w:rsidTr="00E14DFB">
        <w:tc>
          <w:tcPr>
            <w:tcW w:w="1444" w:type="dxa"/>
          </w:tcPr>
          <w:p w14:paraId="1AEFABD9" w14:textId="77777777" w:rsidR="00C018E1" w:rsidRPr="002A1E9D" w:rsidRDefault="001A7328" w:rsidP="00E14DFB">
            <w:pPr>
              <w:ind w:left="0" w:firstLine="0"/>
            </w:pPr>
          </w:p>
        </w:tc>
        <w:tc>
          <w:tcPr>
            <w:tcW w:w="1129" w:type="dxa"/>
          </w:tcPr>
          <w:p w14:paraId="77A06637" w14:textId="77777777" w:rsidR="00C018E1" w:rsidRPr="002A1E9D" w:rsidRDefault="001A7328" w:rsidP="00E14DFB">
            <w:pPr>
              <w:ind w:left="0" w:firstLine="0"/>
              <w:jc w:val="both"/>
            </w:pPr>
          </w:p>
        </w:tc>
        <w:tc>
          <w:tcPr>
            <w:tcW w:w="1075" w:type="dxa"/>
          </w:tcPr>
          <w:p w14:paraId="5F7E49A2" w14:textId="77777777" w:rsidR="00C018E1" w:rsidRPr="002A1E9D" w:rsidRDefault="001A7328" w:rsidP="00E14DFB">
            <w:pPr>
              <w:ind w:left="0" w:firstLine="0"/>
              <w:jc w:val="both"/>
            </w:pPr>
          </w:p>
        </w:tc>
        <w:tc>
          <w:tcPr>
            <w:tcW w:w="1129" w:type="dxa"/>
          </w:tcPr>
          <w:p w14:paraId="0ADBBD39" w14:textId="77777777" w:rsidR="00C018E1" w:rsidRPr="002A1E9D" w:rsidRDefault="001A7328" w:rsidP="00E14DFB">
            <w:pPr>
              <w:ind w:left="0" w:firstLine="0"/>
              <w:jc w:val="both"/>
            </w:pPr>
          </w:p>
        </w:tc>
        <w:tc>
          <w:tcPr>
            <w:tcW w:w="1165" w:type="dxa"/>
          </w:tcPr>
          <w:p w14:paraId="2AF6E05E" w14:textId="77777777" w:rsidR="00C018E1" w:rsidRPr="002A1E9D" w:rsidRDefault="001A7328" w:rsidP="00E14DFB">
            <w:pPr>
              <w:ind w:left="0" w:firstLine="0"/>
              <w:jc w:val="both"/>
            </w:pPr>
          </w:p>
        </w:tc>
        <w:tc>
          <w:tcPr>
            <w:tcW w:w="1129" w:type="dxa"/>
          </w:tcPr>
          <w:p w14:paraId="5C0A3383" w14:textId="77777777" w:rsidR="00C018E1" w:rsidRPr="002A1E9D" w:rsidRDefault="001A7328" w:rsidP="00E14DFB">
            <w:pPr>
              <w:ind w:left="0" w:firstLine="0"/>
              <w:jc w:val="both"/>
            </w:pPr>
          </w:p>
        </w:tc>
        <w:tc>
          <w:tcPr>
            <w:tcW w:w="1146" w:type="dxa"/>
          </w:tcPr>
          <w:p w14:paraId="0E671FBB" w14:textId="77777777" w:rsidR="00C018E1" w:rsidRPr="002A1E9D" w:rsidRDefault="001A7328" w:rsidP="00E14DFB">
            <w:pPr>
              <w:ind w:left="0" w:firstLine="0"/>
              <w:jc w:val="both"/>
            </w:pPr>
          </w:p>
        </w:tc>
        <w:tc>
          <w:tcPr>
            <w:tcW w:w="1559" w:type="dxa"/>
          </w:tcPr>
          <w:p w14:paraId="2538F511" w14:textId="77777777" w:rsidR="00C018E1" w:rsidRPr="002A1E9D" w:rsidRDefault="001A7328" w:rsidP="00E14DFB">
            <w:pPr>
              <w:ind w:left="0" w:firstLine="0"/>
              <w:jc w:val="both"/>
            </w:pPr>
          </w:p>
        </w:tc>
      </w:tr>
      <w:tr w:rsidR="00E5321E" w14:paraId="27694C7B" w14:textId="77777777" w:rsidTr="00E14DFB">
        <w:tc>
          <w:tcPr>
            <w:tcW w:w="1444" w:type="dxa"/>
          </w:tcPr>
          <w:p w14:paraId="4A4EB708" w14:textId="77777777" w:rsidR="00C018E1" w:rsidRPr="0003575B" w:rsidRDefault="00C50C5E" w:rsidP="00E14DFB">
            <w:pPr>
              <w:ind w:left="0" w:firstLine="0"/>
              <w:rPr>
                <w:b/>
                <w:bCs/>
              </w:rPr>
            </w:pPr>
            <w:r w:rsidRPr="0003575B">
              <w:rPr>
                <w:b/>
                <w:bCs/>
              </w:rPr>
              <w:t>Total cumulative payments to GD projects</w:t>
            </w:r>
          </w:p>
        </w:tc>
        <w:tc>
          <w:tcPr>
            <w:tcW w:w="1129" w:type="dxa"/>
          </w:tcPr>
          <w:p w14:paraId="48D07DC8" w14:textId="77777777" w:rsidR="00C018E1" w:rsidRPr="002A1E9D" w:rsidRDefault="00C50C5E" w:rsidP="00E14DFB">
            <w:pPr>
              <w:ind w:left="0" w:firstLine="0"/>
              <w:jc w:val="both"/>
            </w:pPr>
            <w:r w:rsidRPr="002A1E9D">
              <w:t>30.510</w:t>
            </w:r>
          </w:p>
        </w:tc>
        <w:tc>
          <w:tcPr>
            <w:tcW w:w="1075" w:type="dxa"/>
          </w:tcPr>
          <w:p w14:paraId="01762D43" w14:textId="77777777" w:rsidR="00C018E1" w:rsidRPr="002A1E9D" w:rsidRDefault="00C50C5E" w:rsidP="00E14DFB">
            <w:pPr>
              <w:ind w:left="0" w:firstLine="0"/>
              <w:jc w:val="both"/>
            </w:pPr>
            <w:r w:rsidRPr="002A1E9D">
              <w:t>56.132</w:t>
            </w:r>
          </w:p>
        </w:tc>
        <w:tc>
          <w:tcPr>
            <w:tcW w:w="1129" w:type="dxa"/>
          </w:tcPr>
          <w:p w14:paraId="2DB32162" w14:textId="77777777" w:rsidR="00C018E1" w:rsidRPr="002A1E9D" w:rsidRDefault="00C50C5E" w:rsidP="00E14DFB">
            <w:pPr>
              <w:ind w:left="0" w:firstLine="0"/>
              <w:jc w:val="both"/>
            </w:pPr>
            <w:r w:rsidRPr="002A1E9D">
              <w:t>88.364</w:t>
            </w:r>
          </w:p>
        </w:tc>
        <w:tc>
          <w:tcPr>
            <w:tcW w:w="1165" w:type="dxa"/>
          </w:tcPr>
          <w:p w14:paraId="4C146F5D" w14:textId="77777777" w:rsidR="00C018E1" w:rsidRPr="002A1E9D" w:rsidRDefault="00C50C5E" w:rsidP="00E14DFB">
            <w:pPr>
              <w:ind w:left="0" w:firstLine="0"/>
              <w:jc w:val="both"/>
            </w:pPr>
            <w:r w:rsidRPr="002A1E9D">
              <w:t>119.763</w:t>
            </w:r>
          </w:p>
        </w:tc>
        <w:tc>
          <w:tcPr>
            <w:tcW w:w="1129" w:type="dxa"/>
          </w:tcPr>
          <w:p w14:paraId="4701220E" w14:textId="77777777" w:rsidR="00C018E1" w:rsidRPr="002A1E9D" w:rsidRDefault="00C50C5E" w:rsidP="00E14DFB">
            <w:pPr>
              <w:ind w:left="0" w:firstLine="0"/>
              <w:jc w:val="both"/>
            </w:pPr>
            <w:r w:rsidRPr="002A1E9D">
              <w:t>159.010</w:t>
            </w:r>
          </w:p>
        </w:tc>
        <w:tc>
          <w:tcPr>
            <w:tcW w:w="1146" w:type="dxa"/>
          </w:tcPr>
          <w:p w14:paraId="11845E63" w14:textId="77777777" w:rsidR="00C018E1" w:rsidRPr="002A1E9D" w:rsidRDefault="00C50C5E" w:rsidP="00E14DFB">
            <w:pPr>
              <w:ind w:left="0" w:firstLine="0"/>
              <w:jc w:val="both"/>
            </w:pPr>
            <w:r w:rsidRPr="002A1E9D">
              <w:t>256.583</w:t>
            </w:r>
          </w:p>
        </w:tc>
        <w:tc>
          <w:tcPr>
            <w:tcW w:w="1559" w:type="dxa"/>
          </w:tcPr>
          <w:p w14:paraId="1E25B3A4" w14:textId="77777777" w:rsidR="00C018E1" w:rsidRPr="002A1E9D" w:rsidRDefault="001A7328" w:rsidP="00E14DFB">
            <w:pPr>
              <w:ind w:left="0" w:firstLine="0"/>
              <w:jc w:val="both"/>
            </w:pPr>
          </w:p>
        </w:tc>
      </w:tr>
      <w:tr w:rsidR="00E5321E" w14:paraId="4D5A3E6F" w14:textId="77777777" w:rsidTr="00E14DFB">
        <w:tc>
          <w:tcPr>
            <w:tcW w:w="1444" w:type="dxa"/>
          </w:tcPr>
          <w:p w14:paraId="0DA7E37A" w14:textId="77777777" w:rsidR="00C018E1" w:rsidRPr="0003575B" w:rsidRDefault="00C50C5E" w:rsidP="00E14DFB">
            <w:pPr>
              <w:ind w:left="0" w:firstLine="0"/>
              <w:rPr>
                <w:b/>
                <w:bCs/>
              </w:rPr>
            </w:pPr>
            <w:r w:rsidRPr="0003575B">
              <w:rPr>
                <w:b/>
                <w:bCs/>
              </w:rPr>
              <w:t>Percentage of the £273.929m LGF actually paid to projects</w:t>
            </w:r>
          </w:p>
        </w:tc>
        <w:tc>
          <w:tcPr>
            <w:tcW w:w="1129" w:type="dxa"/>
          </w:tcPr>
          <w:p w14:paraId="7CCE7C29" w14:textId="77777777" w:rsidR="00C018E1" w:rsidRPr="002A1E9D" w:rsidRDefault="00C50C5E" w:rsidP="00E14DFB">
            <w:pPr>
              <w:ind w:left="0" w:firstLine="0"/>
              <w:jc w:val="both"/>
            </w:pPr>
            <w:r w:rsidRPr="002A1E9D">
              <w:t>11.14%</w:t>
            </w:r>
          </w:p>
        </w:tc>
        <w:tc>
          <w:tcPr>
            <w:tcW w:w="1075" w:type="dxa"/>
          </w:tcPr>
          <w:p w14:paraId="187E1D9E" w14:textId="77777777" w:rsidR="00C018E1" w:rsidRPr="002A1E9D" w:rsidRDefault="00C50C5E" w:rsidP="00E14DFB">
            <w:pPr>
              <w:ind w:left="0" w:firstLine="0"/>
              <w:jc w:val="both"/>
            </w:pPr>
            <w:r w:rsidRPr="002A1E9D">
              <w:t>20.5%</w:t>
            </w:r>
          </w:p>
        </w:tc>
        <w:tc>
          <w:tcPr>
            <w:tcW w:w="1129" w:type="dxa"/>
          </w:tcPr>
          <w:p w14:paraId="3942FF74" w14:textId="77777777" w:rsidR="00C018E1" w:rsidRPr="002A1E9D" w:rsidRDefault="00C50C5E" w:rsidP="00E14DFB">
            <w:pPr>
              <w:ind w:left="0" w:firstLine="0"/>
              <w:jc w:val="both"/>
            </w:pPr>
            <w:r w:rsidRPr="002A1E9D">
              <w:t>32.26%</w:t>
            </w:r>
          </w:p>
        </w:tc>
        <w:tc>
          <w:tcPr>
            <w:tcW w:w="1165" w:type="dxa"/>
          </w:tcPr>
          <w:p w14:paraId="5A4EE2CD" w14:textId="77777777" w:rsidR="00C018E1" w:rsidRPr="002A1E9D" w:rsidRDefault="00C50C5E" w:rsidP="00E14DFB">
            <w:pPr>
              <w:ind w:left="0" w:firstLine="0"/>
              <w:jc w:val="both"/>
            </w:pPr>
            <w:r w:rsidRPr="002A1E9D">
              <w:t>43.72%</w:t>
            </w:r>
          </w:p>
        </w:tc>
        <w:tc>
          <w:tcPr>
            <w:tcW w:w="1129" w:type="dxa"/>
          </w:tcPr>
          <w:p w14:paraId="1F5FAE43" w14:textId="77777777" w:rsidR="00C018E1" w:rsidRPr="002A1E9D" w:rsidRDefault="00C50C5E" w:rsidP="00E14DFB">
            <w:pPr>
              <w:ind w:left="0" w:firstLine="0"/>
              <w:jc w:val="both"/>
            </w:pPr>
            <w:r w:rsidRPr="002A1E9D">
              <w:t>58.05%</w:t>
            </w:r>
          </w:p>
        </w:tc>
        <w:tc>
          <w:tcPr>
            <w:tcW w:w="1146" w:type="dxa"/>
          </w:tcPr>
          <w:p w14:paraId="34AD075F" w14:textId="77777777" w:rsidR="00C018E1" w:rsidRPr="002A1E9D" w:rsidRDefault="00C50C5E" w:rsidP="00E14DFB">
            <w:pPr>
              <w:ind w:left="0" w:firstLine="0"/>
              <w:jc w:val="both"/>
            </w:pPr>
            <w:r w:rsidRPr="002A1E9D">
              <w:t>93.67%</w:t>
            </w:r>
          </w:p>
        </w:tc>
        <w:tc>
          <w:tcPr>
            <w:tcW w:w="1559" w:type="dxa"/>
          </w:tcPr>
          <w:p w14:paraId="6D00A8D7" w14:textId="77777777" w:rsidR="00C018E1" w:rsidRPr="002A1E9D" w:rsidRDefault="001A7328" w:rsidP="00E14DFB">
            <w:pPr>
              <w:ind w:left="0" w:firstLine="0"/>
              <w:jc w:val="both"/>
            </w:pPr>
          </w:p>
        </w:tc>
      </w:tr>
    </w:tbl>
    <w:p w14:paraId="1A1A0BC2" w14:textId="77777777" w:rsidR="00C018E1" w:rsidRPr="002A1E9D" w:rsidRDefault="001A7328" w:rsidP="00C018E1">
      <w:pPr>
        <w:ind w:left="0" w:firstLine="0"/>
        <w:jc w:val="both"/>
      </w:pPr>
    </w:p>
    <w:p w14:paraId="7441C660" w14:textId="77777777" w:rsidR="00C018E1" w:rsidRPr="002A1E9D" w:rsidRDefault="00C50C5E" w:rsidP="00C018E1">
      <w:pPr>
        <w:ind w:left="0" w:firstLine="0"/>
        <w:jc w:val="both"/>
      </w:pPr>
      <w:r w:rsidRPr="002A1E9D">
        <w:t xml:space="preserve">By March 2021, the initial completion date for the 6 year </w:t>
      </w:r>
      <w:proofErr w:type="gramStart"/>
      <w:r w:rsidRPr="002A1E9D">
        <w:t>programme,  £</w:t>
      </w:r>
      <w:proofErr w:type="gramEnd"/>
      <w:r w:rsidRPr="002A1E9D">
        <w:t xml:space="preserve">256.583m of funds are now paid out to projects based on the agreed intervention rate and defrayed spend.  A further £17.347m (6.33%) has been paid to other capital projects on a temporary basis whilst slippage on approved projects has occurred.  This means that by the initial target completion date, and in midst of the </w:t>
      </w:r>
      <w:proofErr w:type="spellStart"/>
      <w:r w:rsidRPr="002A1E9D">
        <w:t>Covid</w:t>
      </w:r>
      <w:proofErr w:type="spellEnd"/>
      <w:r w:rsidRPr="002A1E9D">
        <w:t xml:space="preserve"> 19 pandemic   </w:t>
      </w:r>
      <w:proofErr w:type="gramStart"/>
      <w:r w:rsidRPr="002A1E9D">
        <w:t>all of</w:t>
      </w:r>
      <w:proofErr w:type="gramEnd"/>
      <w:r w:rsidRPr="002A1E9D">
        <w:t xml:space="preserve"> the £273.930m has been incurred on capital projects through the Lancashire region.  </w:t>
      </w:r>
    </w:p>
    <w:p w14:paraId="1A6433DC" w14:textId="77777777" w:rsidR="00C018E1" w:rsidRPr="002A1E9D" w:rsidRDefault="001A7328" w:rsidP="00C018E1">
      <w:pPr>
        <w:ind w:left="0"/>
        <w:jc w:val="both"/>
      </w:pPr>
    </w:p>
    <w:p w14:paraId="7F9DC251" w14:textId="67CDDC26" w:rsidR="00C018E1" w:rsidRPr="001A7328" w:rsidRDefault="00C50C5E" w:rsidP="001A7328">
      <w:pPr>
        <w:ind w:left="0" w:firstLine="0"/>
        <w:jc w:val="both"/>
      </w:pPr>
      <w:r w:rsidRPr="002A1E9D">
        <w:t xml:space="preserve">The remaining   £17.347m is due to </w:t>
      </w:r>
      <w:proofErr w:type="gramStart"/>
      <w:r w:rsidRPr="002A1E9D">
        <w:t>be  paid</w:t>
      </w:r>
      <w:proofErr w:type="gramEnd"/>
      <w:r w:rsidRPr="002A1E9D">
        <w:t xml:space="preserve"> to projects in 21-22 as a consequence of delays to expenditure on these projects. This is in relation to 6 of the total 52 individual projects.  </w:t>
      </w:r>
    </w:p>
    <w:p w14:paraId="6234A9D7" w14:textId="77777777" w:rsidR="00C018E1" w:rsidRPr="0003575B" w:rsidRDefault="00C50C5E" w:rsidP="00C018E1">
      <w:pPr>
        <w:spacing w:after="0" w:line="240" w:lineRule="auto"/>
        <w:ind w:left="0" w:firstLine="0"/>
        <w:jc w:val="both"/>
        <w:rPr>
          <w:b/>
        </w:rPr>
      </w:pPr>
      <w:r w:rsidRPr="0003575B">
        <w:rPr>
          <w:b/>
        </w:rPr>
        <w:lastRenderedPageBreak/>
        <w:t>2.4</w:t>
      </w:r>
      <w:r w:rsidRPr="0003575B">
        <w:rPr>
          <w:b/>
        </w:rPr>
        <w:tab/>
        <w:t>Getting Building Fund</w:t>
      </w:r>
    </w:p>
    <w:p w14:paraId="1964863C" w14:textId="77777777" w:rsidR="00C018E1" w:rsidRPr="0003575B" w:rsidRDefault="001A7328" w:rsidP="00C018E1">
      <w:pPr>
        <w:spacing w:after="0" w:line="240" w:lineRule="auto"/>
        <w:ind w:left="0" w:firstLine="0"/>
        <w:jc w:val="both"/>
        <w:rPr>
          <w:b/>
        </w:rPr>
      </w:pPr>
    </w:p>
    <w:p w14:paraId="407E5934" w14:textId="77777777" w:rsidR="00C018E1" w:rsidRPr="0003575B" w:rsidRDefault="00C50C5E" w:rsidP="00C018E1">
      <w:pPr>
        <w:spacing w:after="0" w:line="240" w:lineRule="auto"/>
        <w:ind w:left="0" w:firstLine="0"/>
        <w:jc w:val="both"/>
      </w:pPr>
      <w:r w:rsidRPr="0003575B">
        <w:t xml:space="preserve">The funds awarded of £34.1m are formalised with S31 grant offer letters to 10 projects </w:t>
      </w:r>
      <w:proofErr w:type="gramStart"/>
      <w:r w:rsidRPr="0003575B">
        <w:t>The</w:t>
      </w:r>
      <w:proofErr w:type="gramEnd"/>
      <w:r w:rsidRPr="0003575B">
        <w:t xml:space="preserve"> projects will commence draw down of funds following completion of contract and subsidy control matters, from May 21. </w:t>
      </w:r>
    </w:p>
    <w:p w14:paraId="4A30FC94" w14:textId="77777777" w:rsidR="00C018E1" w:rsidRPr="0003575B" w:rsidRDefault="001A7328" w:rsidP="00C018E1">
      <w:pPr>
        <w:spacing w:after="0" w:line="240" w:lineRule="auto"/>
        <w:ind w:left="0" w:firstLine="0"/>
        <w:jc w:val="both"/>
      </w:pPr>
    </w:p>
    <w:p w14:paraId="545687B1" w14:textId="77777777" w:rsidR="00C018E1" w:rsidRPr="0003575B" w:rsidRDefault="00C50C5E" w:rsidP="00C018E1">
      <w:pPr>
        <w:spacing w:after="0" w:line="240" w:lineRule="auto"/>
        <w:ind w:left="0" w:firstLine="0"/>
        <w:jc w:val="both"/>
      </w:pPr>
      <w:r w:rsidRPr="0003575B">
        <w:t xml:space="preserve">Whilst the first £17.5m of funding has been received from government, the remaining tranche has yet to be received, though it is expected in late May 2021. </w:t>
      </w:r>
    </w:p>
    <w:p w14:paraId="16A0678C" w14:textId="77777777" w:rsidR="00C018E1" w:rsidRPr="0003575B" w:rsidRDefault="001A7328" w:rsidP="00C018E1">
      <w:pPr>
        <w:spacing w:after="0" w:line="240" w:lineRule="auto"/>
        <w:ind w:left="0" w:firstLine="0"/>
        <w:jc w:val="both"/>
      </w:pPr>
    </w:p>
    <w:p w14:paraId="22B11BF6" w14:textId="77777777" w:rsidR="00C018E1" w:rsidRPr="0003575B" w:rsidRDefault="00C50C5E" w:rsidP="00C018E1">
      <w:pPr>
        <w:spacing w:after="0" w:line="240" w:lineRule="auto"/>
        <w:ind w:left="0" w:firstLine="0"/>
        <w:jc w:val="both"/>
      </w:pPr>
      <w:r w:rsidRPr="0003575B">
        <w:t xml:space="preserve">There is a risk that if the second tranche is not received, commitments to projects will not be able to be met, but this is not anticipated to be the case, but Government have issue a Grant Funding Award to the LEP for this amount.  </w:t>
      </w:r>
    </w:p>
    <w:p w14:paraId="7F8A6562" w14:textId="77777777" w:rsidR="00C018E1" w:rsidRPr="0003575B" w:rsidRDefault="001A7328" w:rsidP="00C018E1">
      <w:pPr>
        <w:spacing w:after="0" w:line="240" w:lineRule="auto"/>
        <w:ind w:left="0" w:firstLine="0"/>
        <w:jc w:val="both"/>
      </w:pPr>
    </w:p>
    <w:p w14:paraId="7B606991" w14:textId="77777777" w:rsidR="00C018E1" w:rsidRPr="0003575B" w:rsidRDefault="00C50C5E" w:rsidP="00C018E1">
      <w:pPr>
        <w:spacing w:after="0" w:line="240" w:lineRule="auto"/>
        <w:ind w:left="0" w:firstLine="0"/>
        <w:jc w:val="both"/>
      </w:pPr>
      <w:r w:rsidRPr="0003575B">
        <w:t>Where the flow of funds is ahead of project expenditure requirements, we have been requested by MHCLG to use accountable body flexibilities as we do with Growth Deal to ensure the money is expended in year. LCC as Accountable Body has agreed to these arrangements.  Payments are forecast to complete on time for all projects by March 2022.</w:t>
      </w:r>
    </w:p>
    <w:p w14:paraId="3CBEE161" w14:textId="073FD8ED" w:rsidR="00C018E1" w:rsidRDefault="001A7328" w:rsidP="00C018E1">
      <w:pPr>
        <w:spacing w:after="0" w:line="240" w:lineRule="auto"/>
        <w:ind w:left="0" w:firstLine="0"/>
        <w:jc w:val="both"/>
        <w:rPr>
          <w:b/>
        </w:rPr>
      </w:pPr>
    </w:p>
    <w:p w14:paraId="3771C12F" w14:textId="77777777" w:rsidR="00C50C5E" w:rsidRPr="0003575B" w:rsidRDefault="00C50C5E" w:rsidP="00C018E1">
      <w:pPr>
        <w:spacing w:after="0" w:line="240" w:lineRule="auto"/>
        <w:ind w:left="0" w:firstLine="0"/>
        <w:jc w:val="both"/>
        <w:rPr>
          <w:b/>
        </w:rPr>
      </w:pPr>
    </w:p>
    <w:p w14:paraId="01D909E7" w14:textId="77777777" w:rsidR="00C018E1" w:rsidRPr="0003575B" w:rsidRDefault="00C50C5E" w:rsidP="00C018E1">
      <w:pPr>
        <w:spacing w:after="0" w:line="240" w:lineRule="auto"/>
        <w:ind w:left="0" w:firstLine="0"/>
        <w:jc w:val="both"/>
        <w:rPr>
          <w:b/>
        </w:rPr>
      </w:pPr>
      <w:bookmarkStart w:id="2" w:name="_Hlk72068980"/>
      <w:r w:rsidRPr="0003575B">
        <w:rPr>
          <w:b/>
        </w:rPr>
        <w:t>2.5</w:t>
      </w:r>
      <w:r w:rsidRPr="0003575B">
        <w:rPr>
          <w:b/>
        </w:rPr>
        <w:tab/>
        <w:t>Growing Places</w:t>
      </w:r>
    </w:p>
    <w:p w14:paraId="7E5D9737" w14:textId="77777777" w:rsidR="00C018E1" w:rsidRPr="0003575B" w:rsidRDefault="001A7328" w:rsidP="00C018E1">
      <w:pPr>
        <w:spacing w:after="0" w:line="240" w:lineRule="auto"/>
        <w:ind w:left="0" w:firstLine="0"/>
        <w:jc w:val="both"/>
        <w:rPr>
          <w:b/>
        </w:rPr>
      </w:pPr>
    </w:p>
    <w:p w14:paraId="677F10F1" w14:textId="77777777" w:rsidR="00C018E1" w:rsidRPr="0003575B" w:rsidRDefault="00C50C5E" w:rsidP="00C018E1">
      <w:pPr>
        <w:spacing w:after="0"/>
        <w:ind w:left="0" w:firstLine="0"/>
        <w:jc w:val="both"/>
      </w:pPr>
      <w:r w:rsidRPr="0003575B">
        <w:t>Growing Places is a fund of £19.379m originally provided in 2012 to provide loan capital, the repayment of which provides a fund to be recycled.  To date loans of £34.055m have been agreed with £27.888m having been repaid. </w:t>
      </w:r>
    </w:p>
    <w:p w14:paraId="10B9D6FA" w14:textId="77777777" w:rsidR="00C018E1" w:rsidRPr="0003575B" w:rsidRDefault="00C50C5E" w:rsidP="00C018E1">
      <w:pPr>
        <w:spacing w:after="0"/>
        <w:ind w:left="0" w:firstLine="0"/>
        <w:jc w:val="both"/>
        <w:rPr>
          <w:rFonts w:eastAsiaTheme="minorHAnsi"/>
        </w:rPr>
      </w:pPr>
      <w:r w:rsidRPr="0003575B">
        <w:t xml:space="preserve"> </w:t>
      </w:r>
    </w:p>
    <w:p w14:paraId="4478FE1A" w14:textId="77777777" w:rsidR="00C018E1" w:rsidRPr="0003575B" w:rsidRDefault="00C50C5E" w:rsidP="00C018E1">
      <w:pPr>
        <w:spacing w:after="0"/>
        <w:ind w:left="0" w:firstLine="0"/>
        <w:jc w:val="both"/>
      </w:pPr>
      <w:r w:rsidRPr="0003575B">
        <w:t xml:space="preserve">Interest is payable on the loans advanced and is calculated </w:t>
      </w:r>
      <w:proofErr w:type="gramStart"/>
      <w:r w:rsidRPr="0003575B">
        <w:t>on a daily basis</w:t>
      </w:r>
      <w:proofErr w:type="gramEnd"/>
      <w:r w:rsidRPr="0003575B">
        <w:t xml:space="preserve"> as agreed in each advance agreement, with a premium calculated if the loan goes into default.  The interest earned on these loans (£1.</w:t>
      </w:r>
      <w:r>
        <w:t>983</w:t>
      </w:r>
      <w:r w:rsidRPr="0003575B">
        <w:t>m to date) is for the LEP to commit.  Currently it is used as part of the reserves supporting the operating budget and reported in the balance sheet as a reserve available. This is the only additional income the LEP receives above grant funds awarded.</w:t>
      </w:r>
    </w:p>
    <w:p w14:paraId="70B8F7A5" w14:textId="77777777" w:rsidR="00C018E1" w:rsidRPr="0003575B" w:rsidRDefault="001A7328" w:rsidP="00C018E1">
      <w:pPr>
        <w:spacing w:after="0"/>
        <w:ind w:left="0" w:firstLine="0"/>
        <w:jc w:val="both"/>
      </w:pPr>
    </w:p>
    <w:p w14:paraId="03016ABC" w14:textId="77777777" w:rsidR="00C018E1" w:rsidRDefault="00C50C5E" w:rsidP="00C018E1">
      <w:pPr>
        <w:spacing w:after="0" w:line="240" w:lineRule="auto"/>
        <w:ind w:left="0" w:firstLine="0"/>
        <w:jc w:val="both"/>
      </w:pPr>
      <w:r w:rsidRPr="0003575B">
        <w:t>Risks to the programme are the default on loans – which would reduce the funds available for future advances. This risk is mitigated to a large extent by security charges agreed against the loans. Also, the non-payment of interest would reduce the amount of cash available to support LEP activity. This risk is mitigated by the prudent forecasting in the operating budget of interest received so that resources are not committed before interest is received.</w:t>
      </w:r>
    </w:p>
    <w:p w14:paraId="68685016" w14:textId="77777777" w:rsidR="00C018E1" w:rsidRPr="0003575B" w:rsidRDefault="001A7328" w:rsidP="00C018E1">
      <w:pPr>
        <w:spacing w:after="0" w:line="240" w:lineRule="auto"/>
        <w:ind w:left="0" w:firstLine="0"/>
        <w:jc w:val="both"/>
      </w:pPr>
    </w:p>
    <w:p w14:paraId="04D55921" w14:textId="77777777" w:rsidR="00C018E1" w:rsidRDefault="00C50C5E" w:rsidP="00C018E1">
      <w:pPr>
        <w:spacing w:after="0" w:line="240" w:lineRule="auto"/>
        <w:ind w:left="0" w:firstLine="0"/>
        <w:jc w:val="both"/>
      </w:pPr>
      <w:r w:rsidRPr="0003575B">
        <w:t xml:space="preserve">The Board are also asked to note that for some loans, the Board has extended payment terms and suspended interest payments to support businesses impacted by the restrictions of </w:t>
      </w:r>
      <w:proofErr w:type="spellStart"/>
      <w:r w:rsidRPr="0003575B">
        <w:t>Covid</w:t>
      </w:r>
      <w:proofErr w:type="spellEnd"/>
      <w:r w:rsidRPr="0003575B">
        <w:t>.</w:t>
      </w:r>
    </w:p>
    <w:p w14:paraId="07C8F825" w14:textId="77777777" w:rsidR="00C018E1" w:rsidRDefault="001A7328" w:rsidP="00C018E1">
      <w:pPr>
        <w:spacing w:after="0" w:line="240" w:lineRule="auto"/>
        <w:ind w:left="0" w:firstLine="0"/>
        <w:jc w:val="both"/>
      </w:pPr>
    </w:p>
    <w:p w14:paraId="43E45CE9" w14:textId="77777777" w:rsidR="00C018E1" w:rsidRPr="006356B6" w:rsidRDefault="00C50C5E" w:rsidP="00C018E1">
      <w:pPr>
        <w:spacing w:after="0" w:line="240" w:lineRule="auto"/>
        <w:ind w:left="0" w:firstLine="0"/>
        <w:jc w:val="both"/>
      </w:pPr>
      <w:r>
        <w:t>There is presently £9.7m funds available for loans and 3 schemes in the pipeline. The Board are asked to note that a further scheme will be presented for approval at the June 21 LEP Board, and further extension of payment terms to an existing scheme.</w:t>
      </w:r>
    </w:p>
    <w:p w14:paraId="2ACD3CB3" w14:textId="77777777" w:rsidR="00C018E1" w:rsidRPr="0003575B" w:rsidRDefault="001A7328" w:rsidP="00C018E1">
      <w:pPr>
        <w:spacing w:after="0" w:line="240" w:lineRule="auto"/>
        <w:ind w:left="0" w:firstLine="0"/>
        <w:jc w:val="both"/>
      </w:pPr>
    </w:p>
    <w:bookmarkEnd w:id="2"/>
    <w:p w14:paraId="1E9E61A4" w14:textId="5F8391A4" w:rsidR="00C018E1" w:rsidRDefault="001A7328" w:rsidP="00C018E1">
      <w:pPr>
        <w:spacing w:after="0" w:line="240" w:lineRule="auto"/>
        <w:ind w:left="0" w:firstLine="0"/>
        <w:jc w:val="both"/>
        <w:rPr>
          <w:b/>
        </w:rPr>
      </w:pPr>
    </w:p>
    <w:p w14:paraId="557739BC" w14:textId="77777777" w:rsidR="001A7328" w:rsidRPr="0003575B" w:rsidRDefault="001A7328" w:rsidP="00C018E1">
      <w:pPr>
        <w:spacing w:after="0" w:line="240" w:lineRule="auto"/>
        <w:ind w:left="0" w:firstLine="0"/>
        <w:jc w:val="both"/>
        <w:rPr>
          <w:b/>
        </w:rPr>
      </w:pPr>
    </w:p>
    <w:p w14:paraId="3D149669" w14:textId="77777777" w:rsidR="00C018E1" w:rsidRPr="0003575B" w:rsidRDefault="00C50C5E" w:rsidP="00C018E1">
      <w:pPr>
        <w:spacing w:after="0" w:line="240" w:lineRule="auto"/>
        <w:ind w:left="0" w:firstLine="0"/>
        <w:jc w:val="both"/>
        <w:rPr>
          <w:b/>
        </w:rPr>
      </w:pPr>
      <w:r w:rsidRPr="0003575B">
        <w:rPr>
          <w:b/>
        </w:rPr>
        <w:lastRenderedPageBreak/>
        <w:t>2.6</w:t>
      </w:r>
      <w:r w:rsidRPr="0003575B">
        <w:rPr>
          <w:b/>
        </w:rPr>
        <w:tab/>
        <w:t>Enterprise Zones X 4</w:t>
      </w:r>
    </w:p>
    <w:p w14:paraId="59DB1F12" w14:textId="77777777" w:rsidR="00C018E1" w:rsidRPr="0003575B" w:rsidRDefault="001A7328" w:rsidP="00C018E1">
      <w:pPr>
        <w:spacing w:after="0" w:line="240" w:lineRule="auto"/>
        <w:ind w:left="0" w:firstLine="0"/>
        <w:jc w:val="both"/>
        <w:rPr>
          <w:b/>
        </w:rPr>
      </w:pPr>
    </w:p>
    <w:p w14:paraId="4643E914" w14:textId="77777777" w:rsidR="00C018E1" w:rsidRPr="0003575B" w:rsidRDefault="00C50C5E" w:rsidP="00C018E1">
      <w:pPr>
        <w:spacing w:after="0" w:line="240" w:lineRule="auto"/>
        <w:ind w:left="0" w:firstLine="0"/>
        <w:jc w:val="both"/>
      </w:pPr>
      <w:r w:rsidRPr="0003575B">
        <w:t xml:space="preserve">The Enterprise Zones are designated by Government, by into two categories in respect of who has control and determination of business rates: </w:t>
      </w:r>
    </w:p>
    <w:p w14:paraId="3651818D" w14:textId="77777777" w:rsidR="00C018E1" w:rsidRPr="0003575B" w:rsidRDefault="001A7328" w:rsidP="00C018E1">
      <w:pPr>
        <w:spacing w:after="0" w:line="240" w:lineRule="auto"/>
        <w:ind w:left="0" w:firstLine="0"/>
        <w:jc w:val="both"/>
      </w:pPr>
    </w:p>
    <w:p w14:paraId="6FE3DD87" w14:textId="77777777" w:rsidR="00C018E1" w:rsidRPr="0003575B" w:rsidRDefault="00C50C5E" w:rsidP="00C018E1">
      <w:pPr>
        <w:spacing w:after="0" w:line="240" w:lineRule="auto"/>
        <w:ind w:left="0" w:firstLine="0"/>
        <w:jc w:val="both"/>
      </w:pPr>
      <w:proofErr w:type="spellStart"/>
      <w:r w:rsidRPr="0003575B">
        <w:rPr>
          <w:b/>
        </w:rPr>
        <w:t>Samlesbury</w:t>
      </w:r>
      <w:proofErr w:type="spellEnd"/>
      <w:r w:rsidRPr="0003575B">
        <w:rPr>
          <w:b/>
        </w:rPr>
        <w:t xml:space="preserve"> &amp; Warton</w:t>
      </w:r>
      <w:r w:rsidRPr="0003575B">
        <w:t xml:space="preserve"> - the Business rates retained locally, are by legislation to flow to the LEP for investment in economic </w:t>
      </w:r>
      <w:r>
        <w:t>priorities within</w:t>
      </w:r>
      <w:r w:rsidRPr="0003575B">
        <w:t xml:space="preserve"> the</w:t>
      </w:r>
      <w:r>
        <w:t xml:space="preserve"> LEP</w:t>
      </w:r>
      <w:r w:rsidRPr="0003575B">
        <w:t xml:space="preserve"> area.  There are legal agreements in place with the rates collecting authorities for income above the baseline and retained locally, to be paid over to LCC as the accountable body for the LEP. </w:t>
      </w:r>
    </w:p>
    <w:p w14:paraId="13B6860C" w14:textId="77777777" w:rsidR="00C018E1" w:rsidRPr="0003575B" w:rsidRDefault="001A7328" w:rsidP="00C018E1">
      <w:pPr>
        <w:spacing w:after="0" w:line="240" w:lineRule="auto"/>
        <w:ind w:left="0" w:firstLine="0"/>
        <w:jc w:val="both"/>
      </w:pPr>
    </w:p>
    <w:p w14:paraId="5C413387" w14:textId="3AA7302F" w:rsidR="00C018E1" w:rsidRPr="0003575B" w:rsidRDefault="00C50C5E" w:rsidP="00C018E1">
      <w:pPr>
        <w:spacing w:after="0" w:line="240" w:lineRule="auto"/>
        <w:ind w:left="0" w:firstLine="0"/>
        <w:jc w:val="both"/>
      </w:pPr>
      <w:r w:rsidRPr="0003575B">
        <w:t xml:space="preserve">A LEP board resolution (September 2014) </w:t>
      </w:r>
      <w:r w:rsidR="001A7328" w:rsidRPr="0003575B">
        <w:t>approved the</w:t>
      </w:r>
      <w:r w:rsidRPr="0003575B">
        <w:t xml:space="preserve"> business rates would first be applied to </w:t>
      </w:r>
      <w:r>
        <w:t xml:space="preserve">an estimated </w:t>
      </w:r>
      <w:r w:rsidRPr="0003575B">
        <w:t>£18.5m</w:t>
      </w:r>
      <w:r>
        <w:t xml:space="preserve"> </w:t>
      </w:r>
      <w:r w:rsidRPr="0003575B">
        <w:t>infrastructure</w:t>
      </w:r>
      <w:r>
        <w:t xml:space="preserve"> costs</w:t>
      </w:r>
      <w:r w:rsidRPr="0003575B">
        <w:t xml:space="preserve"> provided on the sites, </w:t>
      </w:r>
      <w:proofErr w:type="gramStart"/>
      <w:r w:rsidRPr="0003575B">
        <w:t>funded  by</w:t>
      </w:r>
      <w:proofErr w:type="gramEnd"/>
      <w:r w:rsidRPr="0003575B">
        <w:t xml:space="preserve"> LCC through PWLB borrowing plus the relevant interest charged once expenditure defrayed. As such LCC carries the highest risk in respect of repayment of debt.</w:t>
      </w:r>
    </w:p>
    <w:p w14:paraId="0169F798" w14:textId="77777777" w:rsidR="00C018E1" w:rsidRPr="0003575B" w:rsidRDefault="001A7328" w:rsidP="00C018E1">
      <w:pPr>
        <w:spacing w:after="0" w:line="240" w:lineRule="auto"/>
        <w:ind w:left="0" w:firstLine="0"/>
        <w:jc w:val="both"/>
      </w:pPr>
    </w:p>
    <w:p w14:paraId="594C2030" w14:textId="77777777" w:rsidR="00C018E1" w:rsidRPr="0003575B" w:rsidRDefault="00C50C5E" w:rsidP="00C018E1">
      <w:pPr>
        <w:spacing w:after="0" w:line="240" w:lineRule="auto"/>
        <w:ind w:left="0" w:firstLine="0"/>
        <w:jc w:val="both"/>
      </w:pPr>
      <w:r w:rsidRPr="0003575B">
        <w:t>Current forecasts are for income of £20.773m are forecast to be generated from the units with planning permission on the site to the end of the life of the EZ in 2037. Any new occupiers will increase the levels of income via business rates, and therefore levels of capital debt and interest to be repaid over time, but this cannot be forecast at this time.</w:t>
      </w:r>
    </w:p>
    <w:p w14:paraId="587BC474" w14:textId="77777777" w:rsidR="00C018E1" w:rsidRPr="0003575B" w:rsidRDefault="001A7328" w:rsidP="00C018E1">
      <w:pPr>
        <w:spacing w:after="0" w:line="240" w:lineRule="auto"/>
        <w:ind w:left="0" w:firstLine="0"/>
        <w:jc w:val="both"/>
      </w:pPr>
    </w:p>
    <w:p w14:paraId="1F2C747A" w14:textId="77777777" w:rsidR="00C018E1" w:rsidRDefault="00C50C5E" w:rsidP="00C018E1">
      <w:pPr>
        <w:spacing w:after="0" w:line="240" w:lineRule="auto"/>
        <w:ind w:left="0" w:firstLine="0"/>
        <w:jc w:val="both"/>
      </w:pPr>
      <w:r w:rsidRPr="0003575B">
        <w:t>The key risk to the LEP of reduced or delayed occupier-led development is that interest accrued</w:t>
      </w:r>
      <w:r>
        <w:t xml:space="preserve"> for this period,</w:t>
      </w:r>
      <w:r w:rsidRPr="0003575B">
        <w:t xml:space="preserve"> is charged to the LEP</w:t>
      </w:r>
      <w:r>
        <w:t>. T</w:t>
      </w:r>
      <w:r w:rsidRPr="0003575B">
        <w:t xml:space="preserve">his may </w:t>
      </w:r>
      <w:r>
        <w:t xml:space="preserve">negatively </w:t>
      </w:r>
      <w:r w:rsidRPr="0003575B">
        <w:t>impact on future potential income to the LEP</w:t>
      </w:r>
      <w:r>
        <w:t>,</w:t>
      </w:r>
      <w:r w:rsidRPr="0003575B">
        <w:t xml:space="preserve"> to invest into further economic priorities</w:t>
      </w:r>
      <w:r>
        <w:t>.</w:t>
      </w:r>
    </w:p>
    <w:p w14:paraId="077D3A1A" w14:textId="77777777" w:rsidR="00C018E1" w:rsidRPr="0003575B" w:rsidRDefault="001A7328" w:rsidP="00C018E1">
      <w:pPr>
        <w:spacing w:after="0" w:line="240" w:lineRule="auto"/>
        <w:ind w:left="0" w:firstLine="0"/>
        <w:jc w:val="both"/>
      </w:pPr>
    </w:p>
    <w:p w14:paraId="6A2A9963" w14:textId="77777777" w:rsidR="00C018E1" w:rsidRPr="0003575B" w:rsidRDefault="00C50C5E" w:rsidP="00C018E1">
      <w:pPr>
        <w:spacing w:after="0" w:line="240" w:lineRule="auto"/>
        <w:ind w:left="0" w:firstLine="0"/>
        <w:jc w:val="both"/>
      </w:pPr>
      <w:r w:rsidRPr="0003575B">
        <w:t xml:space="preserve">In the first phase of infrastructure development, the County Council constructed a public highway through the EZ site with single access points on the A59 and A677, often referred to as the spine road. Phase 1 also included ecology works on and off site, site segregation from BAE core operations site and Phase 1 surface water drainage and lighting, required for the road itself. The County Council also </w:t>
      </w:r>
      <w:proofErr w:type="gramStart"/>
      <w:r w:rsidRPr="0003575B">
        <w:t>made a contribution</w:t>
      </w:r>
      <w:proofErr w:type="gramEnd"/>
      <w:r w:rsidRPr="0003575B">
        <w:t xml:space="preserve"> of £1m towards revenue costs, which could not be met by capital debt.</w:t>
      </w:r>
    </w:p>
    <w:p w14:paraId="7F4B4FAA" w14:textId="77777777" w:rsidR="00C018E1" w:rsidRPr="0003575B" w:rsidRDefault="00C50C5E" w:rsidP="00C018E1">
      <w:pPr>
        <w:spacing w:after="0" w:line="240" w:lineRule="auto"/>
        <w:ind w:left="0" w:firstLine="0"/>
        <w:jc w:val="both"/>
      </w:pPr>
      <w:r w:rsidRPr="0003575B">
        <w:t>Total costs of Phase 1 were £10.27m – all expenditure is now incurred and PWLB drawdown for £10.27m has been made.</w:t>
      </w:r>
    </w:p>
    <w:p w14:paraId="073C31C2" w14:textId="77777777" w:rsidR="00C018E1" w:rsidRPr="0003575B" w:rsidRDefault="001A7328" w:rsidP="00C018E1">
      <w:pPr>
        <w:spacing w:after="0" w:line="240" w:lineRule="auto"/>
        <w:ind w:left="0" w:firstLine="0"/>
        <w:jc w:val="both"/>
      </w:pPr>
    </w:p>
    <w:p w14:paraId="2B4DA2D7" w14:textId="77777777" w:rsidR="00C018E1" w:rsidRPr="0003575B" w:rsidRDefault="00C50C5E" w:rsidP="00C018E1">
      <w:pPr>
        <w:spacing w:after="0" w:line="240" w:lineRule="auto"/>
        <w:ind w:left="0" w:firstLine="0"/>
        <w:jc w:val="both"/>
      </w:pPr>
      <w:r w:rsidRPr="0003575B">
        <w:t>The County Council's PWLB borrowing, both capital £10.27m and interest £1.037m to-date) will be repaid using income received from business rates growth on the EZ, initially from the first two new facilities on site.</w:t>
      </w:r>
    </w:p>
    <w:p w14:paraId="5C6CD0E5" w14:textId="77777777" w:rsidR="00C018E1" w:rsidRPr="0003575B" w:rsidRDefault="001A7328" w:rsidP="00C018E1">
      <w:pPr>
        <w:spacing w:after="0" w:line="240" w:lineRule="auto"/>
        <w:ind w:left="0" w:firstLine="0"/>
        <w:jc w:val="both"/>
      </w:pPr>
    </w:p>
    <w:p w14:paraId="5596C346" w14:textId="77777777" w:rsidR="00C018E1" w:rsidRDefault="00C50C5E" w:rsidP="00C018E1">
      <w:pPr>
        <w:spacing w:after="0" w:line="240" w:lineRule="auto"/>
        <w:ind w:left="0" w:firstLine="0"/>
        <w:jc w:val="both"/>
      </w:pPr>
      <w:r w:rsidRPr="0003575B">
        <w:t>Phase 2 Infrastructure is currently active and/or in process of final design and/or future implementation. It includes:</w:t>
      </w:r>
    </w:p>
    <w:p w14:paraId="13CE255B" w14:textId="77777777" w:rsidR="00C018E1" w:rsidRPr="0003575B" w:rsidRDefault="001A7328" w:rsidP="00C018E1">
      <w:pPr>
        <w:spacing w:after="0" w:line="240" w:lineRule="auto"/>
        <w:ind w:left="0" w:firstLine="0"/>
        <w:jc w:val="both"/>
      </w:pPr>
    </w:p>
    <w:p w14:paraId="667BCE20" w14:textId="77777777" w:rsidR="00C018E1" w:rsidRPr="0003575B" w:rsidRDefault="00C50C5E" w:rsidP="00C018E1">
      <w:pPr>
        <w:numPr>
          <w:ilvl w:val="0"/>
          <w:numId w:val="6"/>
        </w:numPr>
        <w:spacing w:after="0" w:line="240" w:lineRule="auto"/>
        <w:ind w:left="993"/>
        <w:jc w:val="both"/>
      </w:pPr>
      <w:r w:rsidRPr="0003575B">
        <w:t>LCC Plot Preparation for AMRC</w:t>
      </w:r>
    </w:p>
    <w:p w14:paraId="369F9910" w14:textId="77777777" w:rsidR="00C018E1" w:rsidRPr="0003575B" w:rsidRDefault="00C50C5E" w:rsidP="00C018E1">
      <w:pPr>
        <w:numPr>
          <w:ilvl w:val="0"/>
          <w:numId w:val="6"/>
        </w:numPr>
        <w:spacing w:after="0" w:line="240" w:lineRule="auto"/>
        <w:ind w:left="993"/>
        <w:jc w:val="both"/>
      </w:pPr>
      <w:r w:rsidRPr="0003575B">
        <w:t>Utilities and new road Site wide utility provision</w:t>
      </w:r>
    </w:p>
    <w:p w14:paraId="23BFC2D2" w14:textId="77777777" w:rsidR="00C018E1" w:rsidRPr="0003575B" w:rsidRDefault="00C50C5E" w:rsidP="00C018E1">
      <w:pPr>
        <w:numPr>
          <w:ilvl w:val="0"/>
          <w:numId w:val="6"/>
        </w:numPr>
        <w:spacing w:after="0" w:line="240" w:lineRule="auto"/>
        <w:ind w:left="993"/>
        <w:jc w:val="both"/>
      </w:pPr>
      <w:r w:rsidRPr="0003575B">
        <w:t xml:space="preserve">Research and Development plot preparation to create serviced development plots. </w:t>
      </w:r>
    </w:p>
    <w:p w14:paraId="0EA1BB1F" w14:textId="77777777" w:rsidR="00C018E1" w:rsidRPr="0003575B" w:rsidRDefault="00C50C5E" w:rsidP="00C018E1">
      <w:pPr>
        <w:numPr>
          <w:ilvl w:val="0"/>
          <w:numId w:val="6"/>
        </w:numPr>
        <w:spacing w:after="0" w:line="240" w:lineRule="auto"/>
        <w:ind w:left="993"/>
        <w:jc w:val="both"/>
      </w:pPr>
      <w:r w:rsidRPr="0003575B">
        <w:t>Phase 2 surface water drainage. (This will complete the primary drainage infrastructure)</w:t>
      </w:r>
    </w:p>
    <w:p w14:paraId="6D945D04" w14:textId="77777777" w:rsidR="00C018E1" w:rsidRPr="0003575B" w:rsidRDefault="00C50C5E" w:rsidP="00C018E1">
      <w:pPr>
        <w:numPr>
          <w:ilvl w:val="0"/>
          <w:numId w:val="6"/>
        </w:numPr>
        <w:spacing w:after="0" w:line="240" w:lineRule="auto"/>
        <w:ind w:left="993"/>
        <w:jc w:val="both"/>
      </w:pPr>
      <w:r w:rsidRPr="0003575B">
        <w:t xml:space="preserve">Initial Zone C (partial earthworks to facilitate drainage and broader works) </w:t>
      </w:r>
    </w:p>
    <w:p w14:paraId="6FC14A9A" w14:textId="77777777" w:rsidR="00C018E1" w:rsidRPr="0003575B" w:rsidRDefault="00C50C5E" w:rsidP="00C018E1">
      <w:pPr>
        <w:numPr>
          <w:ilvl w:val="0"/>
          <w:numId w:val="6"/>
        </w:numPr>
        <w:spacing w:after="0" w:line="240" w:lineRule="auto"/>
        <w:ind w:left="993"/>
        <w:jc w:val="both"/>
      </w:pPr>
      <w:r w:rsidRPr="0003575B">
        <w:t xml:space="preserve">Detailed design and delivery of Foul Water Drainage system </w:t>
      </w:r>
    </w:p>
    <w:p w14:paraId="6557E25D" w14:textId="77777777" w:rsidR="00C018E1" w:rsidRPr="0003575B" w:rsidRDefault="00C50C5E" w:rsidP="00C018E1">
      <w:pPr>
        <w:numPr>
          <w:ilvl w:val="0"/>
          <w:numId w:val="6"/>
        </w:numPr>
        <w:spacing w:after="0" w:line="240" w:lineRule="auto"/>
        <w:ind w:left="993"/>
        <w:jc w:val="both"/>
      </w:pPr>
      <w:r w:rsidRPr="0003575B">
        <w:t>Electricity North West investment in primary sub-station</w:t>
      </w:r>
    </w:p>
    <w:p w14:paraId="779403B1" w14:textId="77777777" w:rsidR="00C018E1" w:rsidRDefault="001A7328" w:rsidP="00C018E1">
      <w:pPr>
        <w:spacing w:after="0" w:line="240" w:lineRule="auto"/>
        <w:ind w:left="0" w:firstLine="0"/>
        <w:jc w:val="both"/>
      </w:pPr>
    </w:p>
    <w:p w14:paraId="045E8B73" w14:textId="77777777" w:rsidR="00C018E1" w:rsidRPr="0003575B" w:rsidRDefault="00C50C5E" w:rsidP="00C018E1">
      <w:pPr>
        <w:spacing w:after="0" w:line="240" w:lineRule="auto"/>
        <w:ind w:left="0" w:firstLine="0"/>
        <w:jc w:val="both"/>
      </w:pPr>
      <w:r w:rsidRPr="0003575B">
        <w:t xml:space="preserve">The total cost estimate for this phase of works is £10.8m. Together with Phase 1, the total costs of committed infrastructure works is therefore £21.07m. This is broadly in line with the </w:t>
      </w:r>
      <w:r w:rsidRPr="0003575B">
        <w:rPr>
          <w:i/>
          <w:iCs/>
        </w:rPr>
        <w:t>estimated</w:t>
      </w:r>
      <w:r w:rsidRPr="0003575B">
        <w:t xml:space="preserve"> costs of £18.5m and now confirmed as </w:t>
      </w:r>
      <w:r w:rsidRPr="0003575B">
        <w:rPr>
          <w:i/>
          <w:iCs/>
        </w:rPr>
        <w:t>actual</w:t>
      </w:r>
      <w:r w:rsidRPr="0003575B">
        <w:t xml:space="preserve"> costs, impacted by inflation and any uncertainty of cost at the time. These costs will be met by the following:</w:t>
      </w:r>
    </w:p>
    <w:p w14:paraId="3A186EDA" w14:textId="77777777" w:rsidR="00C018E1" w:rsidRPr="0003575B" w:rsidRDefault="001A7328" w:rsidP="00C018E1">
      <w:pPr>
        <w:spacing w:after="0" w:line="240" w:lineRule="auto"/>
        <w:ind w:left="0" w:firstLine="178"/>
        <w:jc w:val="both"/>
      </w:pPr>
    </w:p>
    <w:p w14:paraId="56618440" w14:textId="77777777" w:rsidR="00C018E1" w:rsidRPr="0003575B" w:rsidRDefault="00C50C5E" w:rsidP="00C018E1">
      <w:pPr>
        <w:numPr>
          <w:ilvl w:val="0"/>
          <w:numId w:val="7"/>
        </w:numPr>
        <w:spacing w:after="0" w:line="240" w:lineRule="auto"/>
        <w:ind w:left="993"/>
        <w:jc w:val="both"/>
      </w:pPr>
      <w:r w:rsidRPr="0003575B">
        <w:t>Growth Deal</w:t>
      </w:r>
      <w:r w:rsidRPr="0003575B">
        <w:tab/>
      </w:r>
      <w:r w:rsidRPr="0003575B">
        <w:tab/>
      </w:r>
      <w:r w:rsidRPr="0003575B">
        <w:tab/>
        <w:t>£6.725m</w:t>
      </w:r>
    </w:p>
    <w:p w14:paraId="761B6A08" w14:textId="77777777" w:rsidR="00C018E1" w:rsidRPr="0003575B" w:rsidRDefault="00C50C5E" w:rsidP="00C018E1">
      <w:pPr>
        <w:numPr>
          <w:ilvl w:val="0"/>
          <w:numId w:val="7"/>
        </w:numPr>
        <w:spacing w:after="0" w:line="240" w:lineRule="auto"/>
        <w:ind w:left="993"/>
        <w:jc w:val="both"/>
      </w:pPr>
      <w:r w:rsidRPr="0003575B">
        <w:t>LEP (business rates)</w:t>
      </w:r>
      <w:r w:rsidRPr="0003575B">
        <w:tab/>
      </w:r>
      <w:r w:rsidRPr="0003575B">
        <w:tab/>
        <w:t>£14.345m</w:t>
      </w:r>
      <w:r>
        <w:t xml:space="preserve"> </w:t>
      </w:r>
      <w:r w:rsidRPr="0003575B">
        <w:t xml:space="preserve">capital debt </w:t>
      </w:r>
      <w:r>
        <w:t xml:space="preserve">not including </w:t>
      </w:r>
      <w:r w:rsidRPr="002A1E9D">
        <w:t>I</w:t>
      </w:r>
      <w:r w:rsidRPr="0003575B">
        <w:t>nterest</w:t>
      </w:r>
    </w:p>
    <w:p w14:paraId="14BFAC7F" w14:textId="77777777" w:rsidR="00C018E1" w:rsidRPr="0003575B" w:rsidRDefault="001A7328" w:rsidP="00C018E1">
      <w:pPr>
        <w:spacing w:after="0" w:line="240" w:lineRule="auto"/>
        <w:ind w:left="0" w:firstLine="178"/>
        <w:jc w:val="both"/>
      </w:pPr>
    </w:p>
    <w:p w14:paraId="184933B8" w14:textId="77777777" w:rsidR="00C018E1" w:rsidRDefault="00C50C5E" w:rsidP="00C018E1">
      <w:pPr>
        <w:spacing w:after="0" w:line="240" w:lineRule="auto"/>
        <w:ind w:left="0" w:firstLine="0"/>
        <w:jc w:val="both"/>
      </w:pPr>
      <w:r w:rsidRPr="0003575B">
        <w:t>There are two further occupiers due to contribute shortly to business rates  - which brings estimated annual business rates collection to approximately £640k.</w:t>
      </w:r>
      <w:r>
        <w:t xml:space="preserve"> </w:t>
      </w:r>
      <w:r w:rsidRPr="0003575B">
        <w:t xml:space="preserve">Future plots when occupied, could  generate a further £42.506m based on the likely occupiers and potential uses over the life of the EZ,  however these returns will only be generated on occupation of each plot. </w:t>
      </w:r>
    </w:p>
    <w:p w14:paraId="4B51DA6E" w14:textId="77777777" w:rsidR="00C018E1" w:rsidRPr="0003575B" w:rsidRDefault="001A7328" w:rsidP="00C018E1">
      <w:pPr>
        <w:spacing w:after="0" w:line="240" w:lineRule="auto"/>
        <w:ind w:left="0" w:firstLine="0"/>
        <w:jc w:val="both"/>
      </w:pPr>
    </w:p>
    <w:p w14:paraId="1E359DD5" w14:textId="77777777" w:rsidR="00C018E1" w:rsidRPr="0003575B" w:rsidRDefault="00C50C5E" w:rsidP="00C018E1">
      <w:pPr>
        <w:spacing w:after="0" w:line="240" w:lineRule="auto"/>
        <w:ind w:left="0" w:firstLine="0"/>
        <w:jc w:val="both"/>
      </w:pPr>
      <w:r w:rsidRPr="0003575B">
        <w:rPr>
          <w:b/>
          <w:bCs/>
        </w:rPr>
        <w:t>Blackpool Airport &amp; Hill House</w:t>
      </w:r>
      <w:r w:rsidRPr="0003575B">
        <w:t xml:space="preserve"> – as part of the second wave of Enterprise Zones the business rates are retained locally. Blackpool Council, as the accountable body for these sites are forecasting that all rates retained will be needed to provide the infrastructure to develop the sites.  </w:t>
      </w:r>
    </w:p>
    <w:p w14:paraId="09F4AF20" w14:textId="77777777" w:rsidR="00C018E1" w:rsidRPr="0003575B" w:rsidRDefault="001A7328" w:rsidP="00C018E1">
      <w:pPr>
        <w:ind w:left="0"/>
        <w:jc w:val="both"/>
      </w:pPr>
    </w:p>
    <w:p w14:paraId="0AEF21B0" w14:textId="77777777" w:rsidR="00C018E1" w:rsidRDefault="00C50C5E" w:rsidP="00C018E1">
      <w:pPr>
        <w:pStyle w:val="NormalNumbered"/>
        <w:tabs>
          <w:tab w:val="clear" w:pos="709"/>
          <w:tab w:val="clear" w:pos="1112"/>
        </w:tabs>
        <w:rPr>
          <w:rFonts w:cs="Arial"/>
          <w:sz w:val="24"/>
        </w:rPr>
      </w:pPr>
      <w:r w:rsidRPr="0003575B">
        <w:rPr>
          <w:b/>
          <w:sz w:val="24"/>
        </w:rPr>
        <w:t>2.7</w:t>
      </w:r>
      <w:r w:rsidRPr="0003575B">
        <w:rPr>
          <w:b/>
          <w:sz w:val="24"/>
        </w:rPr>
        <w:tab/>
        <w:t xml:space="preserve">Skills &amp; Employment Hub </w:t>
      </w:r>
      <w:r w:rsidRPr="0003575B">
        <w:rPr>
          <w:b/>
          <w:sz w:val="24"/>
        </w:rPr>
        <w:tab/>
      </w:r>
    </w:p>
    <w:p w14:paraId="12EC2638" w14:textId="2FB1954B" w:rsidR="00C018E1" w:rsidRPr="001A7328" w:rsidRDefault="00C50C5E" w:rsidP="00C018E1">
      <w:pPr>
        <w:pStyle w:val="NormalNumbered"/>
        <w:tabs>
          <w:tab w:val="clear" w:pos="709"/>
          <w:tab w:val="clear" w:pos="1112"/>
        </w:tabs>
        <w:rPr>
          <w:rFonts w:cs="Arial"/>
          <w:sz w:val="24"/>
        </w:rPr>
      </w:pPr>
      <w:r w:rsidRPr="001A7328">
        <w:rPr>
          <w:rFonts w:cs="Arial"/>
          <w:sz w:val="24"/>
        </w:rPr>
        <w:t xml:space="preserve">The LEP currently pays for 50% of the Skills Hub core staff.   The core staff drive and support the work of the Lancashire Skills and Employment Advisory Panel, and lead the projects in the Skills Hub, with activity being funded by grant income with match coming from a range of sources.  The City Deal Skills and Employment Coordinator is fully funded by </w:t>
      </w:r>
      <w:r w:rsidR="001A7328" w:rsidRPr="001A7328">
        <w:rPr>
          <w:rFonts w:cs="Arial"/>
          <w:sz w:val="24"/>
        </w:rPr>
        <w:t>LCC and</w:t>
      </w:r>
      <w:r w:rsidRPr="001A7328">
        <w:rPr>
          <w:rFonts w:cs="Arial"/>
          <w:sz w:val="24"/>
        </w:rPr>
        <w:t xml:space="preserve"> supports the embedding of social value across both the Growth Deal and City Deal programmes.  </w:t>
      </w:r>
    </w:p>
    <w:p w14:paraId="0882FE8D" w14:textId="77777777" w:rsidR="00C018E1" w:rsidRDefault="00C50C5E" w:rsidP="00C018E1">
      <w:pPr>
        <w:pStyle w:val="NormalNumbered"/>
        <w:tabs>
          <w:tab w:val="clear" w:pos="709"/>
          <w:tab w:val="clear" w:pos="1112"/>
        </w:tabs>
        <w:rPr>
          <w:rFonts w:cs="Arial"/>
          <w:b/>
          <w:bCs/>
          <w:sz w:val="22"/>
          <w:szCs w:val="22"/>
        </w:rPr>
      </w:pPr>
      <w:r w:rsidRPr="002F61D9">
        <w:rPr>
          <w:rFonts w:cs="Arial"/>
          <w:b/>
          <w:bCs/>
          <w:sz w:val="22"/>
          <w:szCs w:val="22"/>
        </w:rPr>
        <w:t>Lancashire Careers Hub and Enterprise Adviser Network</w:t>
      </w:r>
      <w:r w:rsidRPr="002F61D9">
        <w:rPr>
          <w:rFonts w:cs="Arial"/>
          <w:b/>
          <w:bCs/>
          <w:sz w:val="22"/>
          <w:szCs w:val="22"/>
        </w:rPr>
        <w:tab/>
      </w:r>
    </w:p>
    <w:p w14:paraId="246C1049"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The Careers Hub and Enterprise Adviser Network (EAN) are co-funded by the Careers and Enterprise Company (CEC) with match from local partners, including LCC, the LEP, and the unitary authorities.  LCC contract with the Skill's Hubs delivery partner, Inspira, who employs the team of 11 staff working across the Lancashire area.</w:t>
      </w:r>
    </w:p>
    <w:p w14:paraId="60B988AC"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Termly contract reviews are undertaken with Inspira to review financial performance and progress against targets, with claims submitted on a termly basis to the Careers and Enterprise Company for staff salaries and associated costs.  This is claimed in arrears based on evidenced spend, with expenditure cash flowed by LCC.</w:t>
      </w:r>
    </w:p>
    <w:p w14:paraId="48BD2B9D"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 xml:space="preserve">This academic year (September 2020 – August 2021) there have also been </w:t>
      </w:r>
      <w:proofErr w:type="gramStart"/>
      <w:r w:rsidRPr="001A7328">
        <w:rPr>
          <w:rFonts w:cs="Arial"/>
          <w:sz w:val="24"/>
        </w:rPr>
        <w:t>a number of</w:t>
      </w:r>
      <w:proofErr w:type="gramEnd"/>
      <w:r w:rsidRPr="001A7328">
        <w:rPr>
          <w:rFonts w:cs="Arial"/>
          <w:sz w:val="24"/>
        </w:rPr>
        <w:t xml:space="preserve"> other pots of funds aligned with the Careers Hub:</w:t>
      </w:r>
    </w:p>
    <w:p w14:paraId="1C3F0CEA" w14:textId="77777777" w:rsidR="00C018E1" w:rsidRPr="001A7328" w:rsidRDefault="00C50C5E" w:rsidP="00C018E1">
      <w:pPr>
        <w:pStyle w:val="NormalNumbered"/>
        <w:tabs>
          <w:tab w:val="clear" w:pos="709"/>
          <w:tab w:val="clear" w:pos="1112"/>
        </w:tabs>
        <w:rPr>
          <w:rFonts w:cs="Arial"/>
          <w:sz w:val="24"/>
        </w:rPr>
      </w:pPr>
      <w:r w:rsidRPr="001A7328">
        <w:rPr>
          <w:rFonts w:cs="Arial"/>
          <w:b/>
          <w:bCs/>
          <w:sz w:val="24"/>
        </w:rPr>
        <w:t xml:space="preserve">Transition Fund - </w:t>
      </w:r>
      <w:r w:rsidRPr="001A7328">
        <w:rPr>
          <w:rFonts w:cs="Arial"/>
          <w:sz w:val="24"/>
        </w:rPr>
        <w:t xml:space="preserve">£20k grant awarded by the CEC to support the transition of last year's Year 11 and 13.  Funds were directed towards the expansion of the 'Start in Blackpool' platform, to enable roll out to the whole of Lancashire.  'Start in Lancashire' </w:t>
      </w:r>
      <w:r w:rsidRPr="001A7328">
        <w:rPr>
          <w:rFonts w:cs="Arial"/>
          <w:sz w:val="24"/>
        </w:rPr>
        <w:lastRenderedPageBreak/>
        <w:t>was launched in January.  All funds have been claimed and spent in-line with the proposal.</w:t>
      </w:r>
    </w:p>
    <w:p w14:paraId="39DF2F8B" w14:textId="77777777" w:rsidR="00C018E1" w:rsidRPr="001A7328" w:rsidRDefault="00C50C5E" w:rsidP="00C018E1">
      <w:pPr>
        <w:pStyle w:val="NormalNumbered"/>
        <w:tabs>
          <w:tab w:val="clear" w:pos="709"/>
          <w:tab w:val="clear" w:pos="1112"/>
        </w:tabs>
        <w:rPr>
          <w:rFonts w:cs="Arial"/>
          <w:sz w:val="24"/>
        </w:rPr>
      </w:pPr>
      <w:r w:rsidRPr="001A7328">
        <w:rPr>
          <w:rFonts w:cs="Arial"/>
          <w:b/>
          <w:bCs/>
          <w:sz w:val="24"/>
        </w:rPr>
        <w:t>SEND Community of Practice and Innovation Fund -</w:t>
      </w:r>
      <w:r w:rsidRPr="001A7328">
        <w:rPr>
          <w:rFonts w:cs="Arial"/>
          <w:sz w:val="24"/>
        </w:rPr>
        <w:t xml:space="preserve"> £1,500 and £3,000 grant respectively from the CEC to support work with SEND schools.  Funds were received up-front and are currently being spent on activity and detailed in termly claims to the Careers and Enterprise Company.  All funds will be spent by the end of the academic year (end August 2021).</w:t>
      </w:r>
    </w:p>
    <w:p w14:paraId="422FCCB9" w14:textId="77777777" w:rsidR="00C018E1" w:rsidRPr="001A7328" w:rsidRDefault="00C50C5E" w:rsidP="00C018E1">
      <w:pPr>
        <w:pStyle w:val="NormalNumbered"/>
        <w:tabs>
          <w:tab w:val="clear" w:pos="709"/>
          <w:tab w:val="clear" w:pos="1112"/>
        </w:tabs>
        <w:rPr>
          <w:rFonts w:cs="Arial"/>
          <w:b/>
          <w:bCs/>
          <w:sz w:val="24"/>
        </w:rPr>
      </w:pPr>
      <w:r w:rsidRPr="001A7328">
        <w:rPr>
          <w:rFonts w:cs="Arial"/>
          <w:b/>
          <w:bCs/>
          <w:sz w:val="24"/>
        </w:rPr>
        <w:t>Careers Hub Central Fund and EAN Sustainability Fund -</w:t>
      </w:r>
      <w:r w:rsidRPr="001A7328">
        <w:rPr>
          <w:rFonts w:cs="Arial"/>
          <w:sz w:val="24"/>
        </w:rPr>
        <w:t xml:space="preserve"> £154,000 and £34,942 grant from CEC to support the work of the Hub and the EAN.  Funds were received up-front at the beginning of the academic year.  The Central Hub funds have been allocated to clusters of schools and the colleges to support progress against the Gatsby Benchmarks.  Activity is underway this term, and funds are expected to be fully spent by the end of the academic year (end August 2021).  Any funds that are not spent will have to be returned to CEC – at present this forecast to be nil or minimal.  For the Sustainability Funds, there has been minimal spend due to the limitations from the pandemic, for example, holding the annual conference on-line.  It has been confirmed by CEC that these funds can be carried forward in August 2021 to the next academic year.</w:t>
      </w:r>
    </w:p>
    <w:p w14:paraId="3ECDBE42" w14:textId="77777777" w:rsidR="00C018E1" w:rsidRPr="001A7328" w:rsidRDefault="00C50C5E" w:rsidP="00C018E1">
      <w:pPr>
        <w:pStyle w:val="NormalNumbered"/>
        <w:tabs>
          <w:tab w:val="clear" w:pos="709"/>
          <w:tab w:val="clear" w:pos="1112"/>
        </w:tabs>
        <w:rPr>
          <w:rFonts w:cs="Arial"/>
          <w:bCs/>
          <w:sz w:val="24"/>
        </w:rPr>
      </w:pPr>
      <w:r w:rsidRPr="001A7328">
        <w:rPr>
          <w:rFonts w:cs="Arial"/>
          <w:b/>
          <w:bCs/>
          <w:sz w:val="24"/>
        </w:rPr>
        <w:t xml:space="preserve">Blackpool Opportunity Area - </w:t>
      </w:r>
      <w:r w:rsidRPr="001A7328">
        <w:rPr>
          <w:rFonts w:cs="Arial"/>
          <w:bCs/>
          <w:sz w:val="24"/>
        </w:rPr>
        <w:t>£34,600 and £30,000 grant for careers activities and twinning activity with employer networks respectively.  The funds were received up-front and are expected to be spent on activity as per the agreement by the end of the academic year (end August 2021).  Regular progress reports are provided to the Blackpool OA Partnership Board.</w:t>
      </w:r>
    </w:p>
    <w:p w14:paraId="7608B6C6"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The CEC have confirmed funding for next academic year (September 2021 to August 2022) – a separate paper is provided detailing the offer and associated match funds, and other funds, for approval by the board.</w:t>
      </w:r>
    </w:p>
    <w:p w14:paraId="4758D11A" w14:textId="77777777" w:rsidR="00C018E1" w:rsidRPr="001A7328" w:rsidRDefault="00C50C5E" w:rsidP="00C018E1">
      <w:pPr>
        <w:pStyle w:val="NormalNumbered"/>
        <w:tabs>
          <w:tab w:val="clear" w:pos="709"/>
          <w:tab w:val="clear" w:pos="1112"/>
        </w:tabs>
        <w:rPr>
          <w:rFonts w:cs="Arial"/>
          <w:b/>
          <w:bCs/>
          <w:sz w:val="24"/>
        </w:rPr>
      </w:pPr>
      <w:r w:rsidRPr="001A7328">
        <w:rPr>
          <w:rFonts w:cs="Arial"/>
          <w:b/>
          <w:bCs/>
          <w:sz w:val="24"/>
        </w:rPr>
        <w:t xml:space="preserve">Skills and Employment Advisory Panel </w:t>
      </w:r>
    </w:p>
    <w:p w14:paraId="355A9FFF"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 xml:space="preserve">The Department for Education (DfE) have confirmed a grant of £75k for this financial year, mirroring the allocation made last year.  The Skills and Employment Advisory Panel have recommended the acceptance of the grant, to fund analytical work and the provision of local labour market and the development of the Local Skills Report – which is incorporated into the Lancashire Skills and Employment Strategic Framework. A MoU was submitted to the DfE at the end of May, and the funds will be received as a Section 31 grant in July.  </w:t>
      </w:r>
    </w:p>
    <w:p w14:paraId="70B8D366" w14:textId="77777777" w:rsidR="00C018E1" w:rsidRPr="001A7328" w:rsidRDefault="00C50C5E" w:rsidP="00C018E1">
      <w:pPr>
        <w:pStyle w:val="NormalNumbered"/>
        <w:tabs>
          <w:tab w:val="clear" w:pos="709"/>
          <w:tab w:val="clear" w:pos="1112"/>
        </w:tabs>
        <w:rPr>
          <w:rFonts w:eastAsia="Arial" w:cs="Arial"/>
          <w:sz w:val="24"/>
        </w:rPr>
      </w:pPr>
      <w:r w:rsidRPr="001A7328">
        <w:rPr>
          <w:rFonts w:cs="Arial"/>
          <w:sz w:val="24"/>
        </w:rPr>
        <w:t>To note, in agreement with DfE, £</w:t>
      </w:r>
      <w:r w:rsidRPr="001A7328">
        <w:rPr>
          <w:rFonts w:eastAsia="Arial" w:cs="Arial"/>
          <w:sz w:val="24"/>
        </w:rPr>
        <w:t xml:space="preserve">17,562 was carried forward from the previous year, due to delays in commissioning employer facing research due to the pandemic and stakeholder engagement costs were lower than forecast </w:t>
      </w:r>
      <w:proofErr w:type="gramStart"/>
      <w:r w:rsidRPr="001A7328">
        <w:rPr>
          <w:rFonts w:eastAsia="Arial" w:cs="Arial"/>
          <w:sz w:val="24"/>
        </w:rPr>
        <w:t>as a result of</w:t>
      </w:r>
      <w:proofErr w:type="gramEnd"/>
      <w:r w:rsidRPr="001A7328">
        <w:rPr>
          <w:rFonts w:eastAsia="Arial" w:cs="Arial"/>
          <w:sz w:val="24"/>
        </w:rPr>
        <w:t xml:space="preserve"> events being conducted online.  There is a plan in place to spend the full grant and carry forward this financial year.</w:t>
      </w:r>
    </w:p>
    <w:p w14:paraId="7D92E11E" w14:textId="77777777" w:rsidR="00C018E1" w:rsidRPr="001A7328" w:rsidRDefault="00C50C5E" w:rsidP="00C018E1">
      <w:pPr>
        <w:pStyle w:val="NormalNumbered"/>
        <w:tabs>
          <w:tab w:val="clear" w:pos="709"/>
          <w:tab w:val="clear" w:pos="1112"/>
        </w:tabs>
        <w:rPr>
          <w:rFonts w:eastAsia="Arial" w:cs="Arial"/>
          <w:sz w:val="24"/>
        </w:rPr>
      </w:pPr>
      <w:r w:rsidRPr="001A7328">
        <w:rPr>
          <w:rFonts w:cs="Arial"/>
          <w:sz w:val="24"/>
        </w:rPr>
        <w:lastRenderedPageBreak/>
        <w:t>It is unclear whether further funds will be received from DfE for future years.</w:t>
      </w:r>
    </w:p>
    <w:p w14:paraId="06D33FDA" w14:textId="77777777" w:rsidR="00C018E1" w:rsidRPr="001A7328" w:rsidRDefault="00C50C5E" w:rsidP="00C018E1">
      <w:pPr>
        <w:pStyle w:val="NormalNumbered"/>
        <w:tabs>
          <w:tab w:val="clear" w:pos="709"/>
          <w:tab w:val="clear" w:pos="1112"/>
        </w:tabs>
        <w:rPr>
          <w:rFonts w:cs="Arial"/>
          <w:b/>
          <w:bCs/>
          <w:sz w:val="24"/>
        </w:rPr>
      </w:pPr>
      <w:r w:rsidRPr="001A7328">
        <w:rPr>
          <w:rFonts w:cs="Arial"/>
          <w:b/>
          <w:bCs/>
          <w:sz w:val="24"/>
        </w:rPr>
        <w:t>Lancashire Digital Skills Partnership</w:t>
      </w:r>
    </w:p>
    <w:p w14:paraId="71453CB9"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 xml:space="preserve">The Department for Digital, Culture, </w:t>
      </w:r>
      <w:proofErr w:type="gramStart"/>
      <w:r w:rsidRPr="001A7328">
        <w:rPr>
          <w:rFonts w:cs="Arial"/>
          <w:sz w:val="24"/>
        </w:rPr>
        <w:t>Media</w:t>
      </w:r>
      <w:proofErr w:type="gramEnd"/>
      <w:r w:rsidRPr="001A7328">
        <w:rPr>
          <w:rFonts w:cs="Arial"/>
          <w:sz w:val="24"/>
        </w:rPr>
        <w:t xml:space="preserve"> and Sport (DCMS) awarded a Section 31 grant to support the work of the LDSP, including the post of Digital Skills Partnership Coordinator.  £37,500 was received in January 2021, followed by £37,500 in May 2021.  Funds will be spent over the coming financial year.  </w:t>
      </w:r>
    </w:p>
    <w:p w14:paraId="08377DB2" w14:textId="77777777" w:rsidR="00C018E1" w:rsidRPr="001A7328" w:rsidRDefault="00C50C5E" w:rsidP="00C018E1">
      <w:pPr>
        <w:pStyle w:val="NormalNumbered"/>
        <w:tabs>
          <w:tab w:val="clear" w:pos="709"/>
          <w:tab w:val="clear" w:pos="1112"/>
        </w:tabs>
        <w:rPr>
          <w:rFonts w:cs="Arial"/>
          <w:sz w:val="24"/>
        </w:rPr>
      </w:pPr>
      <w:r w:rsidRPr="001A7328">
        <w:rPr>
          <w:rFonts w:cs="Arial"/>
          <w:sz w:val="24"/>
        </w:rPr>
        <w:t>It is unclear whether further funds will be received from DCMS for future years, which poses a risk to partnership.  Sustainability models are being considered with LCC, linked to the development of Fraser House in Lancaster.</w:t>
      </w:r>
    </w:p>
    <w:p w14:paraId="53DDCC23" w14:textId="77777777" w:rsidR="00A3358A" w:rsidRDefault="001A7328" w:rsidP="00A3358A">
      <w:pPr>
        <w:ind w:left="0" w:firstLine="0"/>
      </w:pPr>
    </w:p>
    <w:p w14:paraId="7EED3693" w14:textId="77777777" w:rsidR="00386D34" w:rsidRDefault="001A7328"/>
    <w:p w14:paraId="6D5399C3" w14:textId="77777777" w:rsidR="005D0C06" w:rsidRPr="00AB6785" w:rsidRDefault="00C50C5E" w:rsidP="005D0C06">
      <w:pPr>
        <w:pStyle w:val="Heading5"/>
        <w:rPr>
          <w:rFonts w:ascii="Arial" w:hAnsi="Arial"/>
          <w:b/>
          <w:color w:val="auto"/>
        </w:rPr>
      </w:pPr>
      <w:r w:rsidRPr="00AB6785">
        <w:rPr>
          <w:rFonts w:ascii="Arial" w:hAnsi="Arial"/>
          <w:b/>
          <w:color w:val="auto"/>
        </w:rPr>
        <w:t>List of Background Papers</w:t>
      </w:r>
    </w:p>
    <w:p w14:paraId="3B3ED17D" w14:textId="77777777" w:rsidR="005D0C06" w:rsidRDefault="001A7328" w:rsidP="005D0C06"/>
    <w:tbl>
      <w:tblPr>
        <w:tblW w:w="0" w:type="auto"/>
        <w:tblLayout w:type="fixed"/>
        <w:tblLook w:val="0000" w:firstRow="0" w:lastRow="0" w:firstColumn="0" w:lastColumn="0" w:noHBand="0" w:noVBand="0"/>
      </w:tblPr>
      <w:tblGrid>
        <w:gridCol w:w="3510"/>
        <w:gridCol w:w="2492"/>
        <w:gridCol w:w="3178"/>
      </w:tblGrid>
      <w:tr w:rsidR="00E5321E" w14:paraId="4693F5EE" w14:textId="77777777" w:rsidTr="00434CCE">
        <w:tc>
          <w:tcPr>
            <w:tcW w:w="3510" w:type="dxa"/>
          </w:tcPr>
          <w:p w14:paraId="73F787CB" w14:textId="77777777" w:rsidR="005D0C06" w:rsidRPr="00AB6785" w:rsidRDefault="00C50C5E"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7A215959" w14:textId="77777777" w:rsidR="005D0C06" w:rsidRPr="00AB6785" w:rsidRDefault="00C50C5E"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6C6DAD08" w14:textId="77777777" w:rsidR="005D0C06" w:rsidRPr="00AB6785" w:rsidRDefault="00C50C5E" w:rsidP="00434CCE">
            <w:pPr>
              <w:pStyle w:val="Heading7"/>
              <w:rPr>
                <w:rFonts w:ascii="Arial" w:hAnsi="Arial" w:cs="Arial"/>
                <w:i w:val="0"/>
                <w:color w:val="auto"/>
              </w:rPr>
            </w:pPr>
            <w:r w:rsidRPr="00AB6785">
              <w:rPr>
                <w:rFonts w:ascii="Arial" w:hAnsi="Arial" w:cs="Arial"/>
                <w:i w:val="0"/>
                <w:color w:val="auto"/>
              </w:rPr>
              <w:t>Contact/Tel</w:t>
            </w:r>
          </w:p>
        </w:tc>
      </w:tr>
      <w:tr w:rsidR="00E5321E" w14:paraId="6D130C2A" w14:textId="77777777" w:rsidTr="00434CCE">
        <w:tc>
          <w:tcPr>
            <w:tcW w:w="3510" w:type="dxa"/>
          </w:tcPr>
          <w:p w14:paraId="354E8633" w14:textId="77777777" w:rsidR="005D0C06" w:rsidRPr="00AB6785" w:rsidRDefault="001A7328" w:rsidP="00434CCE">
            <w:pPr>
              <w:rPr>
                <w:color w:val="auto"/>
              </w:rPr>
            </w:pPr>
          </w:p>
          <w:p w14:paraId="207F2B18" w14:textId="3631DCAC" w:rsidR="005D0C06" w:rsidRDefault="001A7328" w:rsidP="00434CCE">
            <w:pPr>
              <w:rPr>
                <w:color w:val="auto"/>
              </w:rPr>
            </w:pPr>
          </w:p>
          <w:p w14:paraId="49A50605" w14:textId="77777777" w:rsidR="005D0C06" w:rsidRPr="00AB6785" w:rsidRDefault="001A7328" w:rsidP="00434CCE">
            <w:pPr>
              <w:rPr>
                <w:color w:val="auto"/>
              </w:rPr>
            </w:pPr>
          </w:p>
        </w:tc>
        <w:tc>
          <w:tcPr>
            <w:tcW w:w="2492" w:type="dxa"/>
          </w:tcPr>
          <w:p w14:paraId="5AE4C089" w14:textId="77777777" w:rsidR="005D0C06" w:rsidRPr="00AB6785" w:rsidRDefault="001A7328" w:rsidP="00434CCE">
            <w:pPr>
              <w:rPr>
                <w:color w:val="auto"/>
              </w:rPr>
            </w:pPr>
          </w:p>
        </w:tc>
        <w:tc>
          <w:tcPr>
            <w:tcW w:w="3178" w:type="dxa"/>
          </w:tcPr>
          <w:p w14:paraId="14BB35FE" w14:textId="77777777" w:rsidR="005D0C06" w:rsidRPr="00AB6785" w:rsidRDefault="001A7328" w:rsidP="00434CCE">
            <w:pPr>
              <w:rPr>
                <w:color w:val="auto"/>
              </w:rPr>
            </w:pPr>
          </w:p>
        </w:tc>
      </w:tr>
      <w:tr w:rsidR="00E5321E" w14:paraId="5DF1A5A8" w14:textId="77777777" w:rsidTr="00434CCE">
        <w:trPr>
          <w:cantSplit/>
        </w:trPr>
        <w:tc>
          <w:tcPr>
            <w:tcW w:w="9180" w:type="dxa"/>
            <w:gridSpan w:val="3"/>
          </w:tcPr>
          <w:p w14:paraId="0EC69E9F" w14:textId="77777777" w:rsidR="005D0C06" w:rsidRDefault="001A7328" w:rsidP="00434CCE"/>
          <w:p w14:paraId="74BFFADF" w14:textId="77777777" w:rsidR="005D0C06" w:rsidRDefault="00C50C5E" w:rsidP="00434CCE">
            <w:r>
              <w:t xml:space="preserve">Reason for inclusion in Part II, if appropriate </w:t>
            </w:r>
          </w:p>
          <w:p w14:paraId="0408374C" w14:textId="77777777" w:rsidR="005D0C06" w:rsidRDefault="001A7328" w:rsidP="00434CCE"/>
          <w:p w14:paraId="4A3E22DE" w14:textId="31EB93BE" w:rsidR="005D0C06" w:rsidRPr="00F95C8B" w:rsidRDefault="00C50C5E" w:rsidP="00434CCE">
            <w:pPr>
              <w:rPr>
                <w:color w:val="auto"/>
              </w:rPr>
            </w:pPr>
            <w:r>
              <w:rPr>
                <w:color w:val="auto"/>
              </w:rPr>
              <w:t>N/A</w:t>
            </w:r>
          </w:p>
          <w:p w14:paraId="4CCC8AB2" w14:textId="77777777" w:rsidR="005D0C06" w:rsidRDefault="001A7328" w:rsidP="00434CCE">
            <w:pPr>
              <w:jc w:val="both"/>
            </w:pPr>
          </w:p>
        </w:tc>
      </w:tr>
    </w:tbl>
    <w:p w14:paraId="1A6CF374" w14:textId="77777777" w:rsidR="005D0C06" w:rsidRDefault="001A7328"/>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1793B" w14:textId="77777777" w:rsidR="00D36919" w:rsidRDefault="00C50C5E">
      <w:pPr>
        <w:spacing w:after="0" w:line="240" w:lineRule="auto"/>
      </w:pPr>
      <w:r>
        <w:separator/>
      </w:r>
    </w:p>
  </w:endnote>
  <w:endnote w:type="continuationSeparator" w:id="0">
    <w:p w14:paraId="39ACA484" w14:textId="77777777" w:rsidR="00D36919" w:rsidRDefault="00C5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CEFD" w14:textId="77777777" w:rsidR="00D36919" w:rsidRDefault="00C50C5E">
      <w:pPr>
        <w:spacing w:after="0" w:line="240" w:lineRule="auto"/>
      </w:pPr>
      <w:r>
        <w:separator/>
      </w:r>
    </w:p>
  </w:footnote>
  <w:footnote w:type="continuationSeparator" w:id="0">
    <w:p w14:paraId="4345C6F9" w14:textId="77777777" w:rsidR="00D36919" w:rsidRDefault="00C5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C5DC" w14:textId="77777777" w:rsidR="00CF1133" w:rsidRDefault="00C50C5E">
    <w:pPr>
      <w:pStyle w:val="Header"/>
    </w:pPr>
    <w:r>
      <w:rPr>
        <w:noProof/>
      </w:rPr>
      <w:drawing>
        <wp:anchor distT="0" distB="0" distL="114300" distR="114300" simplePos="0" relativeHeight="251658240" behindDoc="0" locked="0" layoutInCell="1" allowOverlap="1" wp14:anchorId="4D944EE2" wp14:editId="4DA31F79">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3145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100E442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CA8A69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F525A8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A18200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F7A598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7C81D8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6D841B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15C610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C340C3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86C3AF4"/>
    <w:multiLevelType w:val="hybridMultilevel"/>
    <w:tmpl w:val="87647DD8"/>
    <w:lvl w:ilvl="0" w:tplc="E962E158">
      <w:start w:val="1"/>
      <w:numFmt w:val="bullet"/>
      <w:lvlText w:val=""/>
      <w:lvlJc w:val="left"/>
      <w:pPr>
        <w:ind w:left="720" w:hanging="360"/>
      </w:pPr>
      <w:rPr>
        <w:rFonts w:ascii="Symbol" w:hAnsi="Symbol" w:hint="default"/>
      </w:rPr>
    </w:lvl>
    <w:lvl w:ilvl="1" w:tplc="A6407B26" w:tentative="1">
      <w:start w:val="1"/>
      <w:numFmt w:val="bullet"/>
      <w:lvlText w:val="o"/>
      <w:lvlJc w:val="left"/>
      <w:pPr>
        <w:ind w:left="1440" w:hanging="360"/>
      </w:pPr>
      <w:rPr>
        <w:rFonts w:ascii="Courier New" w:hAnsi="Courier New" w:cs="Courier New" w:hint="default"/>
      </w:rPr>
    </w:lvl>
    <w:lvl w:ilvl="2" w:tplc="F8628522" w:tentative="1">
      <w:start w:val="1"/>
      <w:numFmt w:val="bullet"/>
      <w:lvlText w:val=""/>
      <w:lvlJc w:val="left"/>
      <w:pPr>
        <w:ind w:left="2160" w:hanging="360"/>
      </w:pPr>
      <w:rPr>
        <w:rFonts w:ascii="Wingdings" w:hAnsi="Wingdings" w:hint="default"/>
      </w:rPr>
    </w:lvl>
    <w:lvl w:ilvl="3" w:tplc="0E842628" w:tentative="1">
      <w:start w:val="1"/>
      <w:numFmt w:val="bullet"/>
      <w:lvlText w:val=""/>
      <w:lvlJc w:val="left"/>
      <w:pPr>
        <w:ind w:left="2880" w:hanging="360"/>
      </w:pPr>
      <w:rPr>
        <w:rFonts w:ascii="Symbol" w:hAnsi="Symbol" w:hint="default"/>
      </w:rPr>
    </w:lvl>
    <w:lvl w:ilvl="4" w:tplc="127448A8" w:tentative="1">
      <w:start w:val="1"/>
      <w:numFmt w:val="bullet"/>
      <w:lvlText w:val="o"/>
      <w:lvlJc w:val="left"/>
      <w:pPr>
        <w:ind w:left="3600" w:hanging="360"/>
      </w:pPr>
      <w:rPr>
        <w:rFonts w:ascii="Courier New" w:hAnsi="Courier New" w:cs="Courier New" w:hint="default"/>
      </w:rPr>
    </w:lvl>
    <w:lvl w:ilvl="5" w:tplc="E0245012" w:tentative="1">
      <w:start w:val="1"/>
      <w:numFmt w:val="bullet"/>
      <w:lvlText w:val=""/>
      <w:lvlJc w:val="left"/>
      <w:pPr>
        <w:ind w:left="4320" w:hanging="360"/>
      </w:pPr>
      <w:rPr>
        <w:rFonts w:ascii="Wingdings" w:hAnsi="Wingdings" w:hint="default"/>
      </w:rPr>
    </w:lvl>
    <w:lvl w:ilvl="6" w:tplc="1730CCEE" w:tentative="1">
      <w:start w:val="1"/>
      <w:numFmt w:val="bullet"/>
      <w:lvlText w:val=""/>
      <w:lvlJc w:val="left"/>
      <w:pPr>
        <w:ind w:left="5040" w:hanging="360"/>
      </w:pPr>
      <w:rPr>
        <w:rFonts w:ascii="Symbol" w:hAnsi="Symbol" w:hint="default"/>
      </w:rPr>
    </w:lvl>
    <w:lvl w:ilvl="7" w:tplc="81D8A4A6" w:tentative="1">
      <w:start w:val="1"/>
      <w:numFmt w:val="bullet"/>
      <w:lvlText w:val="o"/>
      <w:lvlJc w:val="left"/>
      <w:pPr>
        <w:ind w:left="5760" w:hanging="360"/>
      </w:pPr>
      <w:rPr>
        <w:rFonts w:ascii="Courier New" w:hAnsi="Courier New" w:cs="Courier New" w:hint="default"/>
      </w:rPr>
    </w:lvl>
    <w:lvl w:ilvl="8" w:tplc="E2B0095C"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4F181FE1"/>
    <w:multiLevelType w:val="hybridMultilevel"/>
    <w:tmpl w:val="7C3A3FAA"/>
    <w:lvl w:ilvl="0" w:tplc="B9C69996">
      <w:start w:val="1"/>
      <w:numFmt w:val="bullet"/>
      <w:lvlText w:val=""/>
      <w:lvlJc w:val="left"/>
      <w:pPr>
        <w:ind w:left="1440" w:hanging="360"/>
      </w:pPr>
      <w:rPr>
        <w:rFonts w:ascii="Symbol" w:hAnsi="Symbol" w:hint="default"/>
      </w:rPr>
    </w:lvl>
    <w:lvl w:ilvl="1" w:tplc="9FFAEA6C" w:tentative="1">
      <w:start w:val="1"/>
      <w:numFmt w:val="bullet"/>
      <w:lvlText w:val="o"/>
      <w:lvlJc w:val="left"/>
      <w:pPr>
        <w:ind w:left="2160" w:hanging="360"/>
      </w:pPr>
      <w:rPr>
        <w:rFonts w:ascii="Courier New" w:hAnsi="Courier New" w:cs="Courier New" w:hint="default"/>
      </w:rPr>
    </w:lvl>
    <w:lvl w:ilvl="2" w:tplc="B936D274" w:tentative="1">
      <w:start w:val="1"/>
      <w:numFmt w:val="bullet"/>
      <w:lvlText w:val=""/>
      <w:lvlJc w:val="left"/>
      <w:pPr>
        <w:ind w:left="2880" w:hanging="360"/>
      </w:pPr>
      <w:rPr>
        <w:rFonts w:ascii="Wingdings" w:hAnsi="Wingdings" w:hint="default"/>
      </w:rPr>
    </w:lvl>
    <w:lvl w:ilvl="3" w:tplc="4CC2414A" w:tentative="1">
      <w:start w:val="1"/>
      <w:numFmt w:val="bullet"/>
      <w:lvlText w:val=""/>
      <w:lvlJc w:val="left"/>
      <w:pPr>
        <w:ind w:left="3600" w:hanging="360"/>
      </w:pPr>
      <w:rPr>
        <w:rFonts w:ascii="Symbol" w:hAnsi="Symbol" w:hint="default"/>
      </w:rPr>
    </w:lvl>
    <w:lvl w:ilvl="4" w:tplc="0B228582" w:tentative="1">
      <w:start w:val="1"/>
      <w:numFmt w:val="bullet"/>
      <w:lvlText w:val="o"/>
      <w:lvlJc w:val="left"/>
      <w:pPr>
        <w:ind w:left="4320" w:hanging="360"/>
      </w:pPr>
      <w:rPr>
        <w:rFonts w:ascii="Courier New" w:hAnsi="Courier New" w:cs="Courier New" w:hint="default"/>
      </w:rPr>
    </w:lvl>
    <w:lvl w:ilvl="5" w:tplc="41E6A422" w:tentative="1">
      <w:start w:val="1"/>
      <w:numFmt w:val="bullet"/>
      <w:lvlText w:val=""/>
      <w:lvlJc w:val="left"/>
      <w:pPr>
        <w:ind w:left="5040" w:hanging="360"/>
      </w:pPr>
      <w:rPr>
        <w:rFonts w:ascii="Wingdings" w:hAnsi="Wingdings" w:hint="default"/>
      </w:rPr>
    </w:lvl>
    <w:lvl w:ilvl="6" w:tplc="1FEA9610" w:tentative="1">
      <w:start w:val="1"/>
      <w:numFmt w:val="bullet"/>
      <w:lvlText w:val=""/>
      <w:lvlJc w:val="left"/>
      <w:pPr>
        <w:ind w:left="5760" w:hanging="360"/>
      </w:pPr>
      <w:rPr>
        <w:rFonts w:ascii="Symbol" w:hAnsi="Symbol" w:hint="default"/>
      </w:rPr>
    </w:lvl>
    <w:lvl w:ilvl="7" w:tplc="7EB2FB10" w:tentative="1">
      <w:start w:val="1"/>
      <w:numFmt w:val="bullet"/>
      <w:lvlText w:val="o"/>
      <w:lvlJc w:val="left"/>
      <w:pPr>
        <w:ind w:left="6480" w:hanging="360"/>
      </w:pPr>
      <w:rPr>
        <w:rFonts w:ascii="Courier New" w:hAnsi="Courier New" w:cs="Courier New" w:hint="default"/>
      </w:rPr>
    </w:lvl>
    <w:lvl w:ilvl="8" w:tplc="41967872" w:tentative="1">
      <w:start w:val="1"/>
      <w:numFmt w:val="bullet"/>
      <w:lvlText w:val=""/>
      <w:lvlJc w:val="left"/>
      <w:pPr>
        <w:ind w:left="7200" w:hanging="360"/>
      </w:pPr>
      <w:rPr>
        <w:rFonts w:ascii="Wingdings" w:hAnsi="Wingdings" w:hint="default"/>
      </w:rPr>
    </w:lvl>
  </w:abstractNum>
  <w:abstractNum w:abstractNumId="5" w15:restartNumberingAfterBreak="0">
    <w:nsid w:val="641A7E20"/>
    <w:multiLevelType w:val="hybridMultilevel"/>
    <w:tmpl w:val="D13EF766"/>
    <w:lvl w:ilvl="0" w:tplc="615EC758">
      <w:start w:val="1"/>
      <w:numFmt w:val="bullet"/>
      <w:lvlText w:val=""/>
      <w:lvlJc w:val="left"/>
      <w:pPr>
        <w:ind w:left="720" w:hanging="360"/>
      </w:pPr>
      <w:rPr>
        <w:rFonts w:ascii="Symbol" w:hAnsi="Symbol" w:hint="default"/>
      </w:rPr>
    </w:lvl>
    <w:lvl w:ilvl="1" w:tplc="389896C8" w:tentative="1">
      <w:start w:val="1"/>
      <w:numFmt w:val="bullet"/>
      <w:lvlText w:val="o"/>
      <w:lvlJc w:val="left"/>
      <w:pPr>
        <w:ind w:left="1440" w:hanging="360"/>
      </w:pPr>
      <w:rPr>
        <w:rFonts w:ascii="Courier New" w:hAnsi="Courier New" w:cs="Courier New" w:hint="default"/>
      </w:rPr>
    </w:lvl>
    <w:lvl w:ilvl="2" w:tplc="1A0A3DF6" w:tentative="1">
      <w:start w:val="1"/>
      <w:numFmt w:val="bullet"/>
      <w:lvlText w:val=""/>
      <w:lvlJc w:val="left"/>
      <w:pPr>
        <w:ind w:left="2160" w:hanging="360"/>
      </w:pPr>
      <w:rPr>
        <w:rFonts w:ascii="Wingdings" w:hAnsi="Wingdings" w:hint="default"/>
      </w:rPr>
    </w:lvl>
    <w:lvl w:ilvl="3" w:tplc="772E95E6" w:tentative="1">
      <w:start w:val="1"/>
      <w:numFmt w:val="bullet"/>
      <w:lvlText w:val=""/>
      <w:lvlJc w:val="left"/>
      <w:pPr>
        <w:ind w:left="2880" w:hanging="360"/>
      </w:pPr>
      <w:rPr>
        <w:rFonts w:ascii="Symbol" w:hAnsi="Symbol" w:hint="default"/>
      </w:rPr>
    </w:lvl>
    <w:lvl w:ilvl="4" w:tplc="16E0E40E" w:tentative="1">
      <w:start w:val="1"/>
      <w:numFmt w:val="bullet"/>
      <w:lvlText w:val="o"/>
      <w:lvlJc w:val="left"/>
      <w:pPr>
        <w:ind w:left="3600" w:hanging="360"/>
      </w:pPr>
      <w:rPr>
        <w:rFonts w:ascii="Courier New" w:hAnsi="Courier New" w:cs="Courier New" w:hint="default"/>
      </w:rPr>
    </w:lvl>
    <w:lvl w:ilvl="5" w:tplc="7F30B0B4" w:tentative="1">
      <w:start w:val="1"/>
      <w:numFmt w:val="bullet"/>
      <w:lvlText w:val=""/>
      <w:lvlJc w:val="left"/>
      <w:pPr>
        <w:ind w:left="4320" w:hanging="360"/>
      </w:pPr>
      <w:rPr>
        <w:rFonts w:ascii="Wingdings" w:hAnsi="Wingdings" w:hint="default"/>
      </w:rPr>
    </w:lvl>
    <w:lvl w:ilvl="6" w:tplc="9716CB34" w:tentative="1">
      <w:start w:val="1"/>
      <w:numFmt w:val="bullet"/>
      <w:lvlText w:val=""/>
      <w:lvlJc w:val="left"/>
      <w:pPr>
        <w:ind w:left="5040" w:hanging="360"/>
      </w:pPr>
      <w:rPr>
        <w:rFonts w:ascii="Symbol" w:hAnsi="Symbol" w:hint="default"/>
      </w:rPr>
    </w:lvl>
    <w:lvl w:ilvl="7" w:tplc="1DEEBBC6" w:tentative="1">
      <w:start w:val="1"/>
      <w:numFmt w:val="bullet"/>
      <w:lvlText w:val="o"/>
      <w:lvlJc w:val="left"/>
      <w:pPr>
        <w:ind w:left="5760" w:hanging="360"/>
      </w:pPr>
      <w:rPr>
        <w:rFonts w:ascii="Courier New" w:hAnsi="Courier New" w:cs="Courier New" w:hint="default"/>
      </w:rPr>
    </w:lvl>
    <w:lvl w:ilvl="8" w:tplc="0C2AE7A0" w:tentative="1">
      <w:start w:val="1"/>
      <w:numFmt w:val="bullet"/>
      <w:lvlText w:val=""/>
      <w:lvlJc w:val="left"/>
      <w:pPr>
        <w:ind w:left="6480" w:hanging="360"/>
      </w:pPr>
      <w:rPr>
        <w:rFonts w:ascii="Wingdings" w:hAnsi="Wingdings" w:hint="default"/>
      </w:rPr>
    </w:lvl>
  </w:abstractNum>
  <w:abstractNum w:abstractNumId="6" w15:restartNumberingAfterBreak="0">
    <w:nsid w:val="6F862635"/>
    <w:multiLevelType w:val="hybridMultilevel"/>
    <w:tmpl w:val="AADC2E72"/>
    <w:lvl w:ilvl="0" w:tplc="7E9C84C6">
      <w:start w:val="1"/>
      <w:numFmt w:val="decimal"/>
      <w:lvlText w:val="%1."/>
      <w:lvlJc w:val="left"/>
      <w:pPr>
        <w:ind w:left="1080" w:hanging="360"/>
      </w:pPr>
      <w:rPr>
        <w:rFonts w:hint="default"/>
      </w:rPr>
    </w:lvl>
    <w:lvl w:ilvl="1" w:tplc="221606BE">
      <w:start w:val="1"/>
      <w:numFmt w:val="bullet"/>
      <w:lvlText w:val=""/>
      <w:lvlJc w:val="left"/>
      <w:pPr>
        <w:ind w:left="1800" w:hanging="360"/>
      </w:pPr>
      <w:rPr>
        <w:rFonts w:ascii="Wingdings" w:hAnsi="Wingdings" w:hint="default"/>
      </w:rPr>
    </w:lvl>
    <w:lvl w:ilvl="2" w:tplc="00BA1D9E" w:tentative="1">
      <w:start w:val="1"/>
      <w:numFmt w:val="lowerRoman"/>
      <w:lvlText w:val="%3."/>
      <w:lvlJc w:val="right"/>
      <w:pPr>
        <w:ind w:left="2520" w:hanging="180"/>
      </w:pPr>
    </w:lvl>
    <w:lvl w:ilvl="3" w:tplc="7BB8D2B6" w:tentative="1">
      <w:start w:val="1"/>
      <w:numFmt w:val="decimal"/>
      <w:lvlText w:val="%4."/>
      <w:lvlJc w:val="left"/>
      <w:pPr>
        <w:ind w:left="3240" w:hanging="360"/>
      </w:pPr>
    </w:lvl>
    <w:lvl w:ilvl="4" w:tplc="27208128" w:tentative="1">
      <w:start w:val="1"/>
      <w:numFmt w:val="lowerLetter"/>
      <w:lvlText w:val="%5."/>
      <w:lvlJc w:val="left"/>
      <w:pPr>
        <w:ind w:left="3960" w:hanging="360"/>
      </w:pPr>
    </w:lvl>
    <w:lvl w:ilvl="5" w:tplc="5BDC9BE4" w:tentative="1">
      <w:start w:val="1"/>
      <w:numFmt w:val="lowerRoman"/>
      <w:lvlText w:val="%6."/>
      <w:lvlJc w:val="right"/>
      <w:pPr>
        <w:ind w:left="4680" w:hanging="180"/>
      </w:pPr>
    </w:lvl>
    <w:lvl w:ilvl="6" w:tplc="0044AD56" w:tentative="1">
      <w:start w:val="1"/>
      <w:numFmt w:val="decimal"/>
      <w:lvlText w:val="%7."/>
      <w:lvlJc w:val="left"/>
      <w:pPr>
        <w:ind w:left="5400" w:hanging="360"/>
      </w:pPr>
    </w:lvl>
    <w:lvl w:ilvl="7" w:tplc="6E56688C" w:tentative="1">
      <w:start w:val="1"/>
      <w:numFmt w:val="lowerLetter"/>
      <w:lvlText w:val="%8."/>
      <w:lvlJc w:val="left"/>
      <w:pPr>
        <w:ind w:left="6120" w:hanging="360"/>
      </w:pPr>
    </w:lvl>
    <w:lvl w:ilvl="8" w:tplc="50787016" w:tentative="1">
      <w:start w:val="1"/>
      <w:numFmt w:val="lowerRoman"/>
      <w:lvlText w:val="%9."/>
      <w:lvlJc w:val="right"/>
      <w:pPr>
        <w:ind w:left="6840" w:hanging="180"/>
      </w:pPr>
    </w:lvl>
  </w:abstractNum>
  <w:abstractNum w:abstractNumId="7" w15:restartNumberingAfterBreak="0">
    <w:nsid w:val="739905C1"/>
    <w:multiLevelType w:val="hybridMultilevel"/>
    <w:tmpl w:val="60E0F370"/>
    <w:lvl w:ilvl="0" w:tplc="37FE81EA">
      <w:start w:val="1"/>
      <w:numFmt w:val="bullet"/>
      <w:lvlText w:val=""/>
      <w:lvlJc w:val="left"/>
      <w:pPr>
        <w:ind w:left="720" w:hanging="360"/>
      </w:pPr>
      <w:rPr>
        <w:rFonts w:ascii="Symbol" w:hAnsi="Symbol" w:hint="default"/>
      </w:rPr>
    </w:lvl>
    <w:lvl w:ilvl="1" w:tplc="93CEDDF6" w:tentative="1">
      <w:start w:val="1"/>
      <w:numFmt w:val="bullet"/>
      <w:lvlText w:val="o"/>
      <w:lvlJc w:val="left"/>
      <w:pPr>
        <w:ind w:left="1440" w:hanging="360"/>
      </w:pPr>
      <w:rPr>
        <w:rFonts w:ascii="Courier New" w:hAnsi="Courier New" w:cs="Courier New" w:hint="default"/>
      </w:rPr>
    </w:lvl>
    <w:lvl w:ilvl="2" w:tplc="D76A8C82" w:tentative="1">
      <w:start w:val="1"/>
      <w:numFmt w:val="bullet"/>
      <w:lvlText w:val=""/>
      <w:lvlJc w:val="left"/>
      <w:pPr>
        <w:ind w:left="2160" w:hanging="360"/>
      </w:pPr>
      <w:rPr>
        <w:rFonts w:ascii="Wingdings" w:hAnsi="Wingdings" w:hint="default"/>
      </w:rPr>
    </w:lvl>
    <w:lvl w:ilvl="3" w:tplc="E3A01FC0" w:tentative="1">
      <w:start w:val="1"/>
      <w:numFmt w:val="bullet"/>
      <w:lvlText w:val=""/>
      <w:lvlJc w:val="left"/>
      <w:pPr>
        <w:ind w:left="2880" w:hanging="360"/>
      </w:pPr>
      <w:rPr>
        <w:rFonts w:ascii="Symbol" w:hAnsi="Symbol" w:hint="default"/>
      </w:rPr>
    </w:lvl>
    <w:lvl w:ilvl="4" w:tplc="8FF651F6" w:tentative="1">
      <w:start w:val="1"/>
      <w:numFmt w:val="bullet"/>
      <w:lvlText w:val="o"/>
      <w:lvlJc w:val="left"/>
      <w:pPr>
        <w:ind w:left="3600" w:hanging="360"/>
      </w:pPr>
      <w:rPr>
        <w:rFonts w:ascii="Courier New" w:hAnsi="Courier New" w:cs="Courier New" w:hint="default"/>
      </w:rPr>
    </w:lvl>
    <w:lvl w:ilvl="5" w:tplc="B0E49294" w:tentative="1">
      <w:start w:val="1"/>
      <w:numFmt w:val="bullet"/>
      <w:lvlText w:val=""/>
      <w:lvlJc w:val="left"/>
      <w:pPr>
        <w:ind w:left="4320" w:hanging="360"/>
      </w:pPr>
      <w:rPr>
        <w:rFonts w:ascii="Wingdings" w:hAnsi="Wingdings" w:hint="default"/>
      </w:rPr>
    </w:lvl>
    <w:lvl w:ilvl="6" w:tplc="C764EB88" w:tentative="1">
      <w:start w:val="1"/>
      <w:numFmt w:val="bullet"/>
      <w:lvlText w:val=""/>
      <w:lvlJc w:val="left"/>
      <w:pPr>
        <w:ind w:left="5040" w:hanging="360"/>
      </w:pPr>
      <w:rPr>
        <w:rFonts w:ascii="Symbol" w:hAnsi="Symbol" w:hint="default"/>
      </w:rPr>
    </w:lvl>
    <w:lvl w:ilvl="7" w:tplc="662E642A" w:tentative="1">
      <w:start w:val="1"/>
      <w:numFmt w:val="bullet"/>
      <w:lvlText w:val="o"/>
      <w:lvlJc w:val="left"/>
      <w:pPr>
        <w:ind w:left="5760" w:hanging="360"/>
      </w:pPr>
      <w:rPr>
        <w:rFonts w:ascii="Courier New" w:hAnsi="Courier New" w:cs="Courier New" w:hint="default"/>
      </w:rPr>
    </w:lvl>
    <w:lvl w:ilvl="8" w:tplc="2DA6BB6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1E"/>
    <w:rsid w:val="001A7328"/>
    <w:rsid w:val="00C50C5E"/>
    <w:rsid w:val="00D36919"/>
    <w:rsid w:val="00E5321E"/>
    <w:rsid w:val="00EA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3684"/>
  <w15:docId w15:val="{150AD17A-E7CC-42C5-88B0-B7B46AF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Numbered">
    <w:name w:val="Normal Numbered"/>
    <w:basedOn w:val="Normal"/>
    <w:qFormat/>
    <w:rsid w:val="00C018E1"/>
    <w:pPr>
      <w:tabs>
        <w:tab w:val="left" w:pos="709"/>
        <w:tab w:val="num" w:pos="1112"/>
      </w:tabs>
      <w:spacing w:before="120" w:after="240" w:line="264" w:lineRule="auto"/>
      <w:ind w:left="0" w:firstLine="0"/>
      <w:jc w:val="both"/>
    </w:pPr>
    <w:rPr>
      <w:rFonts w:eastAsia="Times New Roman" w:cs="Times New Roman"/>
      <w:color w:val="auto"/>
      <w:sz w:val="20"/>
    </w:rPr>
  </w:style>
  <w:style w:type="character" w:styleId="CommentReference">
    <w:name w:val="annotation reference"/>
    <w:basedOn w:val="DefaultParagraphFont"/>
    <w:uiPriority w:val="99"/>
    <w:semiHidden/>
    <w:unhideWhenUsed/>
    <w:rsid w:val="00C018E1"/>
    <w:rPr>
      <w:sz w:val="16"/>
      <w:szCs w:val="16"/>
    </w:rPr>
  </w:style>
  <w:style w:type="paragraph" w:styleId="CommentText">
    <w:name w:val="annotation text"/>
    <w:basedOn w:val="Normal"/>
    <w:link w:val="CommentTextChar"/>
    <w:uiPriority w:val="99"/>
    <w:semiHidden/>
    <w:unhideWhenUsed/>
    <w:rsid w:val="00C018E1"/>
    <w:pPr>
      <w:spacing w:line="240" w:lineRule="auto"/>
    </w:pPr>
    <w:rPr>
      <w:sz w:val="20"/>
      <w:szCs w:val="20"/>
    </w:rPr>
  </w:style>
  <w:style w:type="character" w:customStyle="1" w:styleId="CommentTextChar">
    <w:name w:val="Comment Text Char"/>
    <w:basedOn w:val="DefaultParagraphFont"/>
    <w:link w:val="CommentText"/>
    <w:uiPriority w:val="99"/>
    <w:semiHidden/>
    <w:rsid w:val="00C018E1"/>
    <w:rPr>
      <w:rFonts w:ascii="Arial" w:eastAsia="Calibri" w:hAnsi="Arial" w:cs="Arial"/>
      <w:color w:val="000000"/>
      <w:sz w:val="20"/>
      <w:szCs w:val="20"/>
      <w:lang w:eastAsia="en-GB"/>
    </w:rPr>
  </w:style>
  <w:style w:type="table" w:styleId="TableGrid">
    <w:name w:val="Table Grid"/>
    <w:basedOn w:val="TableNormal"/>
    <w:uiPriority w:val="39"/>
    <w:rsid w:val="00C0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8E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14</cp:revision>
  <dcterms:created xsi:type="dcterms:W3CDTF">2014-12-03T08:17:00Z</dcterms:created>
  <dcterms:modified xsi:type="dcterms:W3CDTF">2021-06-16T08:57:00Z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Finance Update Report</vt:lpwstr>
  </property>
  <property fmtid="{D5CDD505-2E9C-101B-9397-08002B2CF9AE}" pid="3" name="LeadOfficer">
    <vt:lpwstr>Sarah Kemp</vt:lpwstr>
  </property>
  <property fmtid="{D5CDD505-2E9C-101B-9397-08002B2CF9AE}" pid="4" name="LeadOfficerEmail">
    <vt:lpwstr>Sarah.Kemp@lancashirelep.co.uk</vt:lpwstr>
  </property>
  <property fmtid="{D5CDD505-2E9C-101B-9397-08002B2CF9AE}" pid="5" name="LeadOfficerTel">
    <vt:lpwstr>Tel: 01772 531885</vt:lpwstr>
  </property>
  <property fmtid="{D5CDD505-2E9C-101B-9397-08002B2CF9AE}" pid="6" name="MeetingDate">
    <vt:lpwstr>Tuesday, 22 June 2021</vt:lpwstr>
  </property>
</Properties>
</file>